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B9EA" w14:textId="55C36A6D" w:rsidR="006B7530" w:rsidRPr="006B7530" w:rsidRDefault="006B7530" w:rsidP="006B7530">
      <w:pPr>
        <w:spacing w:before="120"/>
        <w:jc w:val="center"/>
        <w:rPr>
          <w:rFonts w:ascii="Times New Roman" w:hAnsi="Times New Roman"/>
          <w:b/>
          <w:i/>
          <w:sz w:val="26"/>
          <w:szCs w:val="26"/>
        </w:rPr>
      </w:pPr>
      <w:r>
        <w:rPr>
          <w:rFonts w:ascii="Times New Roman" w:hAnsi="Times New Roman"/>
          <w:b/>
          <w:i/>
          <w:sz w:val="26"/>
          <w:szCs w:val="26"/>
        </w:rPr>
        <w:t>C</w:t>
      </w:r>
      <w:r w:rsidRPr="00B61BE2">
        <w:rPr>
          <w:rFonts w:ascii="Times New Roman" w:hAnsi="Times New Roman"/>
          <w:b/>
          <w:i/>
          <w:sz w:val="26"/>
          <w:szCs w:val="26"/>
          <w:lang w:val="vi-VN"/>
        </w:rPr>
        <w:t>huẩn đầu ra</w:t>
      </w:r>
      <w:r>
        <w:rPr>
          <w:rFonts w:ascii="Times New Roman" w:hAnsi="Times New Roman"/>
          <w:b/>
          <w:i/>
          <w:sz w:val="26"/>
          <w:szCs w:val="26"/>
        </w:rPr>
        <w:t xml:space="preserve"> ngành Chăn nuôi – Thú y Khóa 6</w:t>
      </w:r>
      <w:r w:rsidR="00C3118C">
        <w:rPr>
          <w:rFonts w:ascii="Times New Roman" w:hAnsi="Times New Roman"/>
          <w:b/>
          <w:i/>
          <w:sz w:val="26"/>
          <w:szCs w:val="26"/>
        </w:rPr>
        <w:t>5</w:t>
      </w:r>
      <w:bookmarkStart w:id="0" w:name="_GoBack"/>
      <w:bookmarkEnd w:id="0"/>
    </w:p>
    <w:p w14:paraId="191F05D9" w14:textId="77777777" w:rsidR="006B7530" w:rsidRPr="00B61BE2" w:rsidRDefault="006B7530" w:rsidP="006B7530">
      <w:pPr>
        <w:pStyle w:val="Nen"/>
        <w:spacing w:before="120"/>
        <w:rPr>
          <w:rFonts w:ascii="Times New Roman" w:hAnsi="Times New Roman"/>
          <w:sz w:val="26"/>
          <w:szCs w:val="26"/>
          <w:lang w:val="vi-VN"/>
        </w:rPr>
      </w:pPr>
      <w:r w:rsidRPr="00B61BE2">
        <w:rPr>
          <w:rFonts w:ascii="Times New Roman" w:hAnsi="Times New Roman"/>
          <w:sz w:val="26"/>
          <w:szCs w:val="26"/>
          <w:lang w:val="vi-VN"/>
        </w:rPr>
        <w:t>Hoàn thành chương trình đào tạo, người học có kiến thức, kỹ năng, năng lực tự chủ và trách nhiệm sau:</w:t>
      </w:r>
    </w:p>
    <w:p w14:paraId="56302661" w14:textId="77777777" w:rsidR="006B7530" w:rsidRDefault="006B7530"/>
    <w:tbl>
      <w:tblPr>
        <w:tblStyle w:val="TableGrid"/>
        <w:tblW w:w="9633" w:type="dxa"/>
        <w:tblLook w:val="04A0" w:firstRow="1" w:lastRow="0" w:firstColumn="1" w:lastColumn="0" w:noHBand="0" w:noVBand="1"/>
      </w:tblPr>
      <w:tblGrid>
        <w:gridCol w:w="2515"/>
        <w:gridCol w:w="7118"/>
      </w:tblGrid>
      <w:tr w:rsidR="006B7530" w:rsidRPr="00B61BE2" w14:paraId="6C29B0D0" w14:textId="77777777" w:rsidTr="0049564C">
        <w:trPr>
          <w:trHeight w:val="969"/>
        </w:trPr>
        <w:tc>
          <w:tcPr>
            <w:tcW w:w="2515" w:type="dxa"/>
            <w:vAlign w:val="center"/>
          </w:tcPr>
          <w:p w14:paraId="103D3B32" w14:textId="77777777" w:rsidR="006B7530" w:rsidRPr="00B61BE2" w:rsidRDefault="006B7530" w:rsidP="0049564C">
            <w:pPr>
              <w:spacing w:before="120" w:line="264" w:lineRule="auto"/>
              <w:rPr>
                <w:rFonts w:ascii="Times New Roman" w:eastAsia="MS Mincho" w:hAnsi="Times New Roman"/>
                <w:b/>
                <w:sz w:val="26"/>
                <w:szCs w:val="26"/>
              </w:rPr>
            </w:pPr>
            <w:r w:rsidRPr="00B61BE2">
              <w:rPr>
                <w:rFonts w:ascii="Times New Roman" w:eastAsia="MS Mincho" w:hAnsi="Times New Roman"/>
                <w:b/>
                <w:sz w:val="26"/>
                <w:szCs w:val="26"/>
              </w:rPr>
              <w:t>Nội dung</w:t>
            </w:r>
          </w:p>
        </w:tc>
        <w:tc>
          <w:tcPr>
            <w:tcW w:w="7118" w:type="dxa"/>
            <w:vAlign w:val="center"/>
          </w:tcPr>
          <w:p w14:paraId="1814AC7B" w14:textId="77777777" w:rsidR="006B7530" w:rsidRPr="00B61BE2" w:rsidRDefault="006B7530" w:rsidP="0049564C">
            <w:pPr>
              <w:spacing w:before="120" w:line="264" w:lineRule="auto"/>
              <w:rPr>
                <w:rFonts w:ascii="Times New Roman" w:eastAsia="MS Mincho" w:hAnsi="Times New Roman"/>
                <w:b/>
                <w:sz w:val="26"/>
                <w:szCs w:val="26"/>
              </w:rPr>
            </w:pPr>
            <w:r w:rsidRPr="00B61BE2">
              <w:rPr>
                <w:rFonts w:ascii="Times New Roman" w:eastAsia="MS Mincho" w:hAnsi="Times New Roman"/>
                <w:b/>
                <w:sz w:val="26"/>
                <w:szCs w:val="26"/>
              </w:rPr>
              <w:t>Các chuẩn đầu ra của chương trình đào tạo</w:t>
            </w:r>
          </w:p>
        </w:tc>
      </w:tr>
      <w:tr w:rsidR="006B7530" w:rsidRPr="00B61BE2" w14:paraId="73953CC2" w14:textId="77777777" w:rsidTr="0049564C">
        <w:trPr>
          <w:trHeight w:val="617"/>
        </w:trPr>
        <w:tc>
          <w:tcPr>
            <w:tcW w:w="2515" w:type="dxa"/>
          </w:tcPr>
          <w:p w14:paraId="16711C5E"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hAnsi="Times New Roman"/>
                <w:sz w:val="26"/>
                <w:szCs w:val="26"/>
              </w:rPr>
              <w:t>Kiến thức chung</w:t>
            </w:r>
          </w:p>
        </w:tc>
        <w:tc>
          <w:tcPr>
            <w:tcW w:w="7118" w:type="dxa"/>
          </w:tcPr>
          <w:p w14:paraId="0C59FEEB"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eastAsia="Times New Roman" w:hAnsi="Times New Roman"/>
                <w:sz w:val="26"/>
                <w:szCs w:val="26"/>
              </w:rPr>
              <w:t>CĐR1: Áp dụng các kiến thức khoa học tự nhiên, xã hội và sự hiểu biết về các vấn đề đương đại vào lĩnh vực Chăn nuôi và Thú y;</w:t>
            </w:r>
          </w:p>
        </w:tc>
      </w:tr>
      <w:tr w:rsidR="006B7530" w:rsidRPr="00B61BE2" w14:paraId="218467F3" w14:textId="77777777" w:rsidTr="0049564C">
        <w:trPr>
          <w:trHeight w:val="617"/>
        </w:trPr>
        <w:tc>
          <w:tcPr>
            <w:tcW w:w="2515" w:type="dxa"/>
            <w:vMerge w:val="restart"/>
          </w:tcPr>
          <w:p w14:paraId="3F48D1F1"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hAnsi="Times New Roman"/>
                <w:sz w:val="26"/>
                <w:szCs w:val="26"/>
              </w:rPr>
              <w:t>Kiến thức chuyên môn</w:t>
            </w:r>
          </w:p>
        </w:tc>
        <w:tc>
          <w:tcPr>
            <w:tcW w:w="7118" w:type="dxa"/>
            <w:vAlign w:val="center"/>
          </w:tcPr>
          <w:p w14:paraId="67AAE0F1" w14:textId="77777777" w:rsidR="006B7530" w:rsidRPr="00B61BE2" w:rsidRDefault="006B7530" w:rsidP="0049564C">
            <w:pPr>
              <w:spacing w:before="120" w:line="264" w:lineRule="auto"/>
              <w:jc w:val="both"/>
              <w:rPr>
                <w:rFonts w:ascii="Times New Roman" w:eastAsia="Times New Roman" w:hAnsi="Times New Roman"/>
                <w:sz w:val="26"/>
                <w:szCs w:val="26"/>
              </w:rPr>
            </w:pPr>
            <w:r w:rsidRPr="00B61BE2">
              <w:rPr>
                <w:rFonts w:ascii="Times New Roman" w:eastAsia="Times New Roman" w:hAnsi="Times New Roman"/>
                <w:sz w:val="26"/>
                <w:szCs w:val="26"/>
              </w:rPr>
              <w:t>CĐR2: Phân tích các yếu tố tác động đến nuôi dưỡng, phòng và điều trị bệnh cho vật nuôi</w:t>
            </w:r>
          </w:p>
        </w:tc>
      </w:tr>
      <w:tr w:rsidR="006B7530" w:rsidRPr="00B61BE2" w14:paraId="72564D83" w14:textId="77777777" w:rsidTr="0049564C">
        <w:trPr>
          <w:trHeight w:val="595"/>
        </w:trPr>
        <w:tc>
          <w:tcPr>
            <w:tcW w:w="2515" w:type="dxa"/>
            <w:vMerge/>
          </w:tcPr>
          <w:p w14:paraId="6F94AC6B" w14:textId="77777777" w:rsidR="006B7530" w:rsidRPr="00B61BE2" w:rsidRDefault="006B7530" w:rsidP="0049564C">
            <w:pPr>
              <w:pStyle w:val="Nen"/>
              <w:spacing w:before="120"/>
              <w:ind w:firstLine="0"/>
              <w:rPr>
                <w:rFonts w:ascii="Times New Roman" w:hAnsi="Times New Roman"/>
                <w:sz w:val="26"/>
                <w:szCs w:val="26"/>
              </w:rPr>
            </w:pPr>
          </w:p>
        </w:tc>
        <w:tc>
          <w:tcPr>
            <w:tcW w:w="7118" w:type="dxa"/>
            <w:vAlign w:val="center"/>
          </w:tcPr>
          <w:p w14:paraId="35A7683A" w14:textId="77777777" w:rsidR="006B7530" w:rsidRPr="00B61BE2" w:rsidRDefault="006B7530" w:rsidP="0049564C">
            <w:pPr>
              <w:spacing w:before="120" w:line="264" w:lineRule="auto"/>
              <w:jc w:val="both"/>
              <w:rPr>
                <w:rFonts w:ascii="Times New Roman" w:eastAsia="MS Mincho" w:hAnsi="Times New Roman"/>
                <w:sz w:val="26"/>
                <w:szCs w:val="26"/>
              </w:rPr>
            </w:pPr>
            <w:r w:rsidRPr="00B61BE2">
              <w:rPr>
                <w:rFonts w:ascii="Times New Roman" w:eastAsia="Times New Roman" w:hAnsi="Times New Roman"/>
                <w:sz w:val="26"/>
                <w:szCs w:val="26"/>
              </w:rPr>
              <w:t>CĐR3: Đánh giá hiệu quả chăn nuôi, phòng và điều trị bệnh cho vật nuôi;</w:t>
            </w:r>
          </w:p>
        </w:tc>
      </w:tr>
      <w:tr w:rsidR="006B7530" w:rsidRPr="00B61BE2" w14:paraId="573D135E" w14:textId="77777777" w:rsidTr="0049564C">
        <w:trPr>
          <w:trHeight w:val="617"/>
        </w:trPr>
        <w:tc>
          <w:tcPr>
            <w:tcW w:w="2515" w:type="dxa"/>
            <w:vMerge/>
          </w:tcPr>
          <w:p w14:paraId="73E88FA0" w14:textId="77777777" w:rsidR="006B7530" w:rsidRPr="00B61BE2" w:rsidRDefault="006B7530" w:rsidP="0049564C">
            <w:pPr>
              <w:pStyle w:val="Nen"/>
              <w:spacing w:before="120"/>
              <w:ind w:firstLine="0"/>
              <w:rPr>
                <w:rFonts w:ascii="Times New Roman" w:hAnsi="Times New Roman"/>
                <w:sz w:val="26"/>
                <w:szCs w:val="26"/>
              </w:rPr>
            </w:pPr>
          </w:p>
        </w:tc>
        <w:tc>
          <w:tcPr>
            <w:tcW w:w="7118" w:type="dxa"/>
            <w:vAlign w:val="center"/>
          </w:tcPr>
          <w:p w14:paraId="3BDAE2D7" w14:textId="77777777" w:rsidR="006B7530" w:rsidRPr="00B61BE2" w:rsidRDefault="006B7530" w:rsidP="0049564C">
            <w:pPr>
              <w:spacing w:before="120" w:line="264" w:lineRule="auto"/>
              <w:jc w:val="both"/>
              <w:rPr>
                <w:rFonts w:ascii="Times New Roman" w:eastAsia="Times New Roman" w:hAnsi="Times New Roman"/>
                <w:sz w:val="26"/>
                <w:szCs w:val="26"/>
              </w:rPr>
            </w:pPr>
            <w:r w:rsidRPr="00B61BE2">
              <w:rPr>
                <w:rFonts w:ascii="Times New Roman" w:eastAsia="Times New Roman" w:hAnsi="Times New Roman"/>
                <w:sz w:val="26"/>
                <w:szCs w:val="26"/>
              </w:rPr>
              <w:t>CĐR4: Thiết kế các chương trình sản xuất chăn nuôi, phòng và điều trị bệnh cho vật nuôi đảm bảo lợi ích kinh tế, môi trường và phúc lợi động vật;</w:t>
            </w:r>
          </w:p>
        </w:tc>
      </w:tr>
      <w:tr w:rsidR="006B7530" w:rsidRPr="00B61BE2" w14:paraId="2B6364D2" w14:textId="77777777" w:rsidTr="0049564C">
        <w:trPr>
          <w:trHeight w:val="595"/>
        </w:trPr>
        <w:tc>
          <w:tcPr>
            <w:tcW w:w="2515" w:type="dxa"/>
            <w:vMerge w:val="restart"/>
          </w:tcPr>
          <w:p w14:paraId="5D1CDF01"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hAnsi="Times New Roman"/>
                <w:sz w:val="26"/>
                <w:szCs w:val="26"/>
              </w:rPr>
              <w:t>Kỹ năng chung</w:t>
            </w:r>
          </w:p>
        </w:tc>
        <w:tc>
          <w:tcPr>
            <w:tcW w:w="7118" w:type="dxa"/>
          </w:tcPr>
          <w:p w14:paraId="37A40BBF"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eastAsia="Times New Roman" w:hAnsi="Times New Roman"/>
                <w:sz w:val="26"/>
                <w:szCs w:val="26"/>
              </w:rPr>
              <w:t>CĐR5: Vận dụng kỹ năng tư duy sáng tạo và kỹ năng phản biện trong nghiên cứu khoa học, phát triển công nghệ và quản lý sản xuất ngành chăn nuôi hiệu quả;</w:t>
            </w:r>
          </w:p>
        </w:tc>
      </w:tr>
      <w:tr w:rsidR="006B7530" w:rsidRPr="00B61BE2" w14:paraId="5EA4C037" w14:textId="77777777" w:rsidTr="0049564C">
        <w:trPr>
          <w:trHeight w:val="617"/>
        </w:trPr>
        <w:tc>
          <w:tcPr>
            <w:tcW w:w="2515" w:type="dxa"/>
            <w:vMerge/>
          </w:tcPr>
          <w:p w14:paraId="1F1F9C3D" w14:textId="77777777" w:rsidR="006B7530" w:rsidRPr="00B61BE2" w:rsidRDefault="006B7530" w:rsidP="0049564C">
            <w:pPr>
              <w:pStyle w:val="Nen"/>
              <w:spacing w:before="120"/>
              <w:ind w:firstLine="0"/>
              <w:rPr>
                <w:rFonts w:ascii="Times New Roman" w:hAnsi="Times New Roman"/>
                <w:sz w:val="26"/>
                <w:szCs w:val="26"/>
              </w:rPr>
            </w:pPr>
          </w:p>
        </w:tc>
        <w:tc>
          <w:tcPr>
            <w:tcW w:w="7118" w:type="dxa"/>
          </w:tcPr>
          <w:p w14:paraId="1AB9A2BC"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eastAsia="Times New Roman" w:hAnsi="Times New Roman"/>
                <w:sz w:val="26"/>
                <w:szCs w:val="26"/>
              </w:rPr>
              <w:t>CĐR6: Phối hợp làm việc nhóm trong hoạt động chuyên môn đạt mục tiêu đề ra ở vị trí là thành viên hay nhà quản lý;</w:t>
            </w:r>
          </w:p>
        </w:tc>
      </w:tr>
      <w:tr w:rsidR="006B7530" w:rsidRPr="00B61BE2" w14:paraId="625C7DFA" w14:textId="77777777" w:rsidTr="0049564C">
        <w:trPr>
          <w:trHeight w:val="595"/>
        </w:trPr>
        <w:tc>
          <w:tcPr>
            <w:tcW w:w="2515" w:type="dxa"/>
            <w:vMerge/>
          </w:tcPr>
          <w:p w14:paraId="716EE77A" w14:textId="77777777" w:rsidR="006B7530" w:rsidRPr="00B61BE2" w:rsidRDefault="006B7530" w:rsidP="0049564C">
            <w:pPr>
              <w:pStyle w:val="Nen"/>
              <w:spacing w:before="120"/>
              <w:ind w:firstLine="0"/>
              <w:rPr>
                <w:rFonts w:ascii="Times New Roman" w:hAnsi="Times New Roman"/>
                <w:sz w:val="26"/>
                <w:szCs w:val="26"/>
              </w:rPr>
            </w:pPr>
          </w:p>
        </w:tc>
        <w:tc>
          <w:tcPr>
            <w:tcW w:w="7118" w:type="dxa"/>
          </w:tcPr>
          <w:p w14:paraId="46B329EF"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eastAsia="Times New Roman" w:hAnsi="Times New Roman"/>
                <w:sz w:val="26"/>
                <w:szCs w:val="26"/>
              </w:rPr>
              <w:t>CĐR7: Giao tiếp hiệu quả bằng đa phương tiện, thích nghi với môi trường đa văn hóa, đọc hiểu tài liệu tiếng Anh chuyên ngành Chăn nuôi, Thú y;</w:t>
            </w:r>
          </w:p>
        </w:tc>
      </w:tr>
      <w:tr w:rsidR="006B7530" w:rsidRPr="00B61BE2" w14:paraId="68FCEA11" w14:textId="77777777" w:rsidTr="0049564C">
        <w:trPr>
          <w:trHeight w:val="595"/>
        </w:trPr>
        <w:tc>
          <w:tcPr>
            <w:tcW w:w="2515" w:type="dxa"/>
            <w:vMerge w:val="restart"/>
          </w:tcPr>
          <w:p w14:paraId="1159DCF4" w14:textId="77777777" w:rsidR="006B7530" w:rsidRPr="00B61BE2" w:rsidRDefault="006B7530" w:rsidP="0049564C">
            <w:pPr>
              <w:pStyle w:val="Nen"/>
              <w:spacing w:before="120"/>
              <w:ind w:firstLine="0"/>
              <w:rPr>
                <w:rFonts w:ascii="Times New Roman" w:hAnsi="Times New Roman"/>
                <w:sz w:val="26"/>
                <w:szCs w:val="26"/>
              </w:rPr>
            </w:pPr>
            <w:r w:rsidRPr="00B61BE2">
              <w:rPr>
                <w:rFonts w:ascii="Times New Roman" w:hAnsi="Times New Roman"/>
                <w:sz w:val="26"/>
                <w:szCs w:val="26"/>
              </w:rPr>
              <w:t>Kỹ năng chuyên môn</w:t>
            </w:r>
          </w:p>
        </w:tc>
        <w:tc>
          <w:tcPr>
            <w:tcW w:w="7118" w:type="dxa"/>
          </w:tcPr>
          <w:p w14:paraId="3F7E3D27" w14:textId="77777777" w:rsidR="006B7530" w:rsidRPr="00B61BE2" w:rsidRDefault="006B7530" w:rsidP="0049564C">
            <w:pPr>
              <w:pStyle w:val="Nen"/>
              <w:spacing w:before="120"/>
              <w:ind w:firstLine="0"/>
              <w:rPr>
                <w:rFonts w:ascii="Times New Roman" w:eastAsia="Times New Roman" w:hAnsi="Times New Roman"/>
                <w:sz w:val="26"/>
                <w:szCs w:val="26"/>
              </w:rPr>
            </w:pPr>
            <w:r w:rsidRPr="00B61BE2">
              <w:rPr>
                <w:rFonts w:ascii="Times New Roman" w:eastAsia="Times New Roman" w:hAnsi="Times New Roman"/>
                <w:sz w:val="26"/>
                <w:szCs w:val="26"/>
              </w:rPr>
              <w:t>CĐR8: Vận dụng các kỹ năng khảo sát, thu thập và xử lý thông tin phục vụ NCKH và nhu cầu của thực tiễn nghề nghiệp một cách hiệu quả;</w:t>
            </w:r>
          </w:p>
        </w:tc>
      </w:tr>
      <w:tr w:rsidR="006B7530" w:rsidRPr="00B61BE2" w14:paraId="1FC80B66" w14:textId="77777777" w:rsidTr="0049564C">
        <w:trPr>
          <w:trHeight w:val="595"/>
        </w:trPr>
        <w:tc>
          <w:tcPr>
            <w:tcW w:w="2515" w:type="dxa"/>
            <w:vMerge/>
          </w:tcPr>
          <w:p w14:paraId="49AC7367" w14:textId="77777777" w:rsidR="006B7530" w:rsidRPr="00B61BE2" w:rsidRDefault="006B7530" w:rsidP="0049564C">
            <w:pPr>
              <w:pStyle w:val="Nen"/>
              <w:spacing w:before="120"/>
              <w:ind w:firstLine="0"/>
              <w:rPr>
                <w:rFonts w:ascii="Times New Roman" w:hAnsi="Times New Roman"/>
                <w:sz w:val="26"/>
                <w:szCs w:val="26"/>
              </w:rPr>
            </w:pPr>
          </w:p>
        </w:tc>
        <w:tc>
          <w:tcPr>
            <w:tcW w:w="7118" w:type="dxa"/>
          </w:tcPr>
          <w:p w14:paraId="77D41F77" w14:textId="77777777" w:rsidR="006B7530" w:rsidRPr="00B61BE2" w:rsidRDefault="006B7530" w:rsidP="0049564C">
            <w:pPr>
              <w:pStyle w:val="Nen"/>
              <w:spacing w:before="120"/>
              <w:ind w:firstLine="0"/>
              <w:rPr>
                <w:rFonts w:ascii="Times New Roman" w:eastAsia="Times New Roman" w:hAnsi="Times New Roman"/>
                <w:sz w:val="26"/>
                <w:szCs w:val="26"/>
              </w:rPr>
            </w:pPr>
            <w:r w:rsidRPr="00B61BE2">
              <w:rPr>
                <w:rFonts w:ascii="Times New Roman" w:eastAsia="Times New Roman" w:hAnsi="Times New Roman"/>
                <w:sz w:val="26"/>
                <w:szCs w:val="26"/>
              </w:rPr>
              <w:t>CĐR9: Tư vấn về kỹ thuật và công nghệ trong phát triển chăn nuôi bền vững;</w:t>
            </w:r>
          </w:p>
        </w:tc>
      </w:tr>
      <w:tr w:rsidR="006B7530" w:rsidRPr="00B61BE2" w14:paraId="50115460" w14:textId="77777777" w:rsidTr="0049564C">
        <w:trPr>
          <w:trHeight w:val="595"/>
        </w:trPr>
        <w:tc>
          <w:tcPr>
            <w:tcW w:w="2515" w:type="dxa"/>
            <w:vMerge/>
          </w:tcPr>
          <w:p w14:paraId="586A0293" w14:textId="77777777" w:rsidR="006B7530" w:rsidRPr="00B61BE2" w:rsidRDefault="006B7530" w:rsidP="0049564C">
            <w:pPr>
              <w:pStyle w:val="Nen"/>
              <w:spacing w:before="120"/>
              <w:ind w:firstLine="0"/>
              <w:rPr>
                <w:rFonts w:ascii="Times New Roman" w:hAnsi="Times New Roman"/>
                <w:sz w:val="26"/>
                <w:szCs w:val="26"/>
              </w:rPr>
            </w:pPr>
          </w:p>
        </w:tc>
        <w:tc>
          <w:tcPr>
            <w:tcW w:w="7118" w:type="dxa"/>
          </w:tcPr>
          <w:p w14:paraId="75F195EB" w14:textId="77777777" w:rsidR="006B7530" w:rsidRPr="00B61BE2" w:rsidRDefault="006B7530" w:rsidP="0049564C">
            <w:pPr>
              <w:pStyle w:val="Nen"/>
              <w:spacing w:before="120"/>
              <w:ind w:firstLine="0"/>
              <w:rPr>
                <w:rFonts w:ascii="Times New Roman" w:eastAsia="Times New Roman" w:hAnsi="Times New Roman"/>
                <w:sz w:val="26"/>
                <w:szCs w:val="26"/>
              </w:rPr>
            </w:pPr>
            <w:r w:rsidRPr="00B61BE2">
              <w:rPr>
                <w:rFonts w:ascii="Times New Roman" w:eastAsia="Times New Roman" w:hAnsi="Times New Roman"/>
                <w:sz w:val="26"/>
                <w:szCs w:val="26"/>
              </w:rPr>
              <w:t>CĐR10: Sử dụng công nghệ thông tin và các trang thiết bị hiện đại của ngành Chăn nuôi, Thú y phục vụ sản xuất, kinh doanh đạt mục tiêu đề ra;</w:t>
            </w:r>
          </w:p>
        </w:tc>
      </w:tr>
      <w:tr w:rsidR="006B7530" w:rsidRPr="00B61BE2" w14:paraId="0E74AD03" w14:textId="77777777" w:rsidTr="0049564C">
        <w:trPr>
          <w:trHeight w:val="595"/>
        </w:trPr>
        <w:tc>
          <w:tcPr>
            <w:tcW w:w="2515" w:type="dxa"/>
            <w:vMerge/>
          </w:tcPr>
          <w:p w14:paraId="43DED864" w14:textId="77777777" w:rsidR="006B7530" w:rsidRPr="00B61BE2" w:rsidRDefault="006B7530" w:rsidP="0049564C">
            <w:pPr>
              <w:pStyle w:val="Nen"/>
              <w:spacing w:before="120"/>
              <w:ind w:firstLine="0"/>
              <w:rPr>
                <w:rFonts w:ascii="Times New Roman" w:hAnsi="Times New Roman"/>
                <w:sz w:val="26"/>
                <w:szCs w:val="26"/>
              </w:rPr>
            </w:pPr>
          </w:p>
        </w:tc>
        <w:tc>
          <w:tcPr>
            <w:tcW w:w="7118" w:type="dxa"/>
          </w:tcPr>
          <w:p w14:paraId="57205549" w14:textId="77777777" w:rsidR="006B7530" w:rsidRPr="00B61BE2" w:rsidRDefault="006B7530" w:rsidP="0049564C">
            <w:pPr>
              <w:pStyle w:val="Nen"/>
              <w:spacing w:before="120"/>
              <w:ind w:firstLine="0"/>
              <w:rPr>
                <w:rFonts w:ascii="Times New Roman" w:eastAsia="Times New Roman" w:hAnsi="Times New Roman"/>
                <w:sz w:val="26"/>
                <w:szCs w:val="26"/>
              </w:rPr>
            </w:pPr>
            <w:r w:rsidRPr="00B61BE2">
              <w:rPr>
                <w:rFonts w:ascii="Times New Roman" w:eastAsia="Times New Roman" w:hAnsi="Times New Roman"/>
                <w:sz w:val="26"/>
                <w:szCs w:val="26"/>
              </w:rPr>
              <w:t>CĐR11: Thực hiện thành thạo các quy trình kỹ thuật chăm sóc, nuôi dưỡng, phòng và điều trị bệnh cho vật nuôi;</w:t>
            </w:r>
          </w:p>
        </w:tc>
      </w:tr>
      <w:tr w:rsidR="006B7530" w:rsidRPr="00B61BE2" w14:paraId="19B758DC" w14:textId="77777777" w:rsidTr="0049564C">
        <w:trPr>
          <w:trHeight w:val="595"/>
        </w:trPr>
        <w:tc>
          <w:tcPr>
            <w:tcW w:w="2515" w:type="dxa"/>
            <w:vMerge w:val="restart"/>
          </w:tcPr>
          <w:p w14:paraId="2D1DF740" w14:textId="77777777" w:rsidR="006B7530" w:rsidRPr="00B61BE2" w:rsidRDefault="006B7530" w:rsidP="0049564C">
            <w:pPr>
              <w:pStyle w:val="Nen"/>
              <w:spacing w:before="120"/>
              <w:ind w:firstLine="0"/>
              <w:rPr>
                <w:rFonts w:ascii="Times New Roman" w:hAnsi="Times New Roman"/>
                <w:sz w:val="26"/>
                <w:szCs w:val="26"/>
                <w:lang w:val="vi-VN"/>
              </w:rPr>
            </w:pPr>
            <w:r w:rsidRPr="00B61BE2">
              <w:rPr>
                <w:rFonts w:ascii="Times New Roman" w:hAnsi="Times New Roman"/>
                <w:sz w:val="26"/>
                <w:szCs w:val="26"/>
                <w:lang w:val="vi-VN"/>
              </w:rPr>
              <w:t>Năng lực tự chủ và trách nhiệm</w:t>
            </w:r>
          </w:p>
        </w:tc>
        <w:tc>
          <w:tcPr>
            <w:tcW w:w="7118" w:type="dxa"/>
          </w:tcPr>
          <w:p w14:paraId="71A31DB3" w14:textId="77777777" w:rsidR="006B7530" w:rsidRPr="00B61BE2" w:rsidRDefault="006B7530" w:rsidP="0049564C">
            <w:pPr>
              <w:pStyle w:val="Nen"/>
              <w:spacing w:before="120"/>
              <w:ind w:firstLine="0"/>
              <w:rPr>
                <w:rFonts w:ascii="Times New Roman" w:eastAsia="Times New Roman" w:hAnsi="Times New Roman"/>
                <w:sz w:val="26"/>
                <w:szCs w:val="26"/>
                <w:lang w:val="vi-VN"/>
              </w:rPr>
            </w:pPr>
            <w:r w:rsidRPr="00B61BE2">
              <w:rPr>
                <w:rFonts w:ascii="Times New Roman" w:eastAsia="Times New Roman" w:hAnsi="Times New Roman"/>
                <w:sz w:val="26"/>
                <w:szCs w:val="26"/>
                <w:lang w:val="vi-VN"/>
              </w:rPr>
              <w:t>CĐR12: Tuân thủ pháp luật, quy định nội bộ và chuẩn mực đạo đức nghề nghiệp;</w:t>
            </w:r>
          </w:p>
        </w:tc>
      </w:tr>
      <w:tr w:rsidR="006B7530" w:rsidRPr="00B61BE2" w14:paraId="2793DB69" w14:textId="77777777" w:rsidTr="0049564C">
        <w:trPr>
          <w:trHeight w:val="595"/>
        </w:trPr>
        <w:tc>
          <w:tcPr>
            <w:tcW w:w="2515" w:type="dxa"/>
            <w:vMerge/>
          </w:tcPr>
          <w:p w14:paraId="29D8BB14" w14:textId="77777777" w:rsidR="006B7530" w:rsidRPr="00B61BE2" w:rsidRDefault="006B7530" w:rsidP="0049564C">
            <w:pPr>
              <w:pStyle w:val="Nen"/>
              <w:spacing w:before="120"/>
              <w:ind w:firstLine="0"/>
              <w:rPr>
                <w:rFonts w:ascii="Times New Roman" w:hAnsi="Times New Roman"/>
                <w:sz w:val="26"/>
                <w:szCs w:val="26"/>
                <w:lang w:val="vi-VN"/>
              </w:rPr>
            </w:pPr>
          </w:p>
        </w:tc>
        <w:tc>
          <w:tcPr>
            <w:tcW w:w="7118" w:type="dxa"/>
          </w:tcPr>
          <w:p w14:paraId="7A8DA8DB" w14:textId="77777777" w:rsidR="006B7530" w:rsidRPr="00B61BE2" w:rsidRDefault="006B7530" w:rsidP="0049564C">
            <w:pPr>
              <w:pStyle w:val="Nen"/>
              <w:spacing w:before="120"/>
              <w:ind w:firstLine="0"/>
              <w:rPr>
                <w:rFonts w:ascii="Times New Roman" w:eastAsia="Times New Roman" w:hAnsi="Times New Roman"/>
                <w:sz w:val="26"/>
                <w:szCs w:val="26"/>
                <w:lang w:val="vi-VN"/>
              </w:rPr>
            </w:pPr>
            <w:r w:rsidRPr="00B61BE2">
              <w:rPr>
                <w:rFonts w:ascii="Times New Roman" w:eastAsia="Times New Roman" w:hAnsi="Times New Roman"/>
                <w:sz w:val="26"/>
                <w:szCs w:val="26"/>
                <w:lang w:val="vi-VN"/>
              </w:rPr>
              <w:t>CĐR13: Thể hiện trách nhiệm bảo vệ môi trường, sức khỏe cộng đồng và tôn trọng phúc lợi động vật;</w:t>
            </w:r>
          </w:p>
        </w:tc>
      </w:tr>
      <w:tr w:rsidR="006B7530" w:rsidRPr="00B61BE2" w14:paraId="74BF22C2" w14:textId="77777777" w:rsidTr="0049564C">
        <w:trPr>
          <w:trHeight w:val="595"/>
        </w:trPr>
        <w:tc>
          <w:tcPr>
            <w:tcW w:w="2515" w:type="dxa"/>
            <w:vMerge/>
          </w:tcPr>
          <w:p w14:paraId="6E551CBD" w14:textId="77777777" w:rsidR="006B7530" w:rsidRPr="00B61BE2" w:rsidRDefault="006B7530" w:rsidP="0049564C">
            <w:pPr>
              <w:pStyle w:val="Nen"/>
              <w:spacing w:before="120"/>
              <w:ind w:firstLine="0"/>
              <w:rPr>
                <w:rFonts w:ascii="Times New Roman" w:hAnsi="Times New Roman"/>
                <w:sz w:val="26"/>
                <w:szCs w:val="26"/>
                <w:lang w:val="vi-VN"/>
              </w:rPr>
            </w:pPr>
          </w:p>
        </w:tc>
        <w:tc>
          <w:tcPr>
            <w:tcW w:w="7118" w:type="dxa"/>
          </w:tcPr>
          <w:p w14:paraId="523C7772" w14:textId="77777777" w:rsidR="006B7530" w:rsidRPr="00B61BE2" w:rsidRDefault="006B7530" w:rsidP="0049564C">
            <w:pPr>
              <w:pStyle w:val="Nen"/>
              <w:spacing w:before="120"/>
              <w:ind w:firstLine="0"/>
              <w:rPr>
                <w:rFonts w:ascii="Times New Roman" w:eastAsia="Times New Roman" w:hAnsi="Times New Roman"/>
                <w:sz w:val="26"/>
                <w:szCs w:val="26"/>
                <w:lang w:val="vi-VN"/>
              </w:rPr>
            </w:pPr>
            <w:r w:rsidRPr="00B61BE2">
              <w:rPr>
                <w:rFonts w:ascii="Times New Roman" w:eastAsia="Times New Roman" w:hAnsi="Times New Roman"/>
                <w:sz w:val="26"/>
                <w:szCs w:val="26"/>
                <w:lang w:val="vi-VN"/>
              </w:rPr>
              <w:t>CĐR14: Thể hiện tinh thần khởi nghiệp và học tập suốt đời</w:t>
            </w:r>
          </w:p>
        </w:tc>
      </w:tr>
    </w:tbl>
    <w:p w14:paraId="63A55E37" w14:textId="77777777" w:rsidR="006B7530" w:rsidRDefault="006B7530"/>
    <w:sectPr w:rsidR="006B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30"/>
    <w:rsid w:val="0035310D"/>
    <w:rsid w:val="003854CA"/>
    <w:rsid w:val="006B7530"/>
    <w:rsid w:val="00C3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899F"/>
  <w15:chartTrackingRefBased/>
  <w15:docId w15:val="{C1C24F53-B459-44C7-8546-0A6C5284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5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n">
    <w:name w:val="Nen"/>
    <w:basedOn w:val="Normal"/>
    <w:link w:val="NenChar"/>
    <w:rsid w:val="006B7530"/>
    <w:pPr>
      <w:spacing w:before="80" w:after="0" w:line="264" w:lineRule="auto"/>
      <w:ind w:firstLine="567"/>
      <w:jc w:val="both"/>
    </w:pPr>
    <w:rPr>
      <w:rFonts w:ascii="Calibri" w:eastAsia="Calibri" w:hAnsi="Calibri" w:cs="Times New Roman"/>
      <w:sz w:val="20"/>
      <w:szCs w:val="24"/>
    </w:rPr>
  </w:style>
  <w:style w:type="character" w:customStyle="1" w:styleId="NenChar">
    <w:name w:val="Nen Char"/>
    <w:link w:val="Nen"/>
    <w:rsid w:val="006B7530"/>
    <w:rPr>
      <w:rFonts w:ascii="Calibri" w:eastAsia="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Nguyen</dc:creator>
  <cp:keywords/>
  <dc:description/>
  <cp:lastModifiedBy>Thu Nguyen</cp:lastModifiedBy>
  <cp:revision>3</cp:revision>
  <dcterms:created xsi:type="dcterms:W3CDTF">2021-03-03T02:36:00Z</dcterms:created>
  <dcterms:modified xsi:type="dcterms:W3CDTF">2021-03-03T02:36:00Z</dcterms:modified>
</cp:coreProperties>
</file>