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CURRICULUM VITAE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6"/>
          <w:szCs w:val="26"/>
          <w:vertAlign w:val="baseline"/>
        </w:rPr>
      </w:pPr>
      <w:r w:rsidDel="00000000" w:rsidR="00000000" w:rsidRPr="00000000">
        <w:rPr>
          <w:rtl w:val="0"/>
        </w:rPr>
      </w:r>
    </w:p>
    <w:tbl>
      <w:tblPr>
        <w:tblStyle w:val="Table1"/>
        <w:tblW w:w="197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0"/>
        <w:gridCol w:w="2872"/>
        <w:gridCol w:w="229"/>
        <w:gridCol w:w="319"/>
        <w:gridCol w:w="2874"/>
        <w:gridCol w:w="10318"/>
        <w:tblGridChange w:id="0">
          <w:tblGrid>
            <w:gridCol w:w="3180"/>
            <w:gridCol w:w="2872"/>
            <w:gridCol w:w="229"/>
            <w:gridCol w:w="319"/>
            <w:gridCol w:w="2874"/>
            <w:gridCol w:w="10318"/>
          </w:tblGrid>
        </w:tblGridChange>
      </w:tblGrid>
      <w:tr>
        <w:tc>
          <w:tcPr>
            <w:gridSpan w:val="6"/>
            <w:tcBorders>
              <w:top w:color="000000" w:space="0" w:sz="4" w:val="single"/>
              <w:left w:color="000000" w:space="0" w:sz="4" w:val="single"/>
              <w:bottom w:color="000000" w:space="0" w:sz="4" w:val="single"/>
              <w:right w:color="000000" w:space="0" w:sz="4" w:val="single"/>
            </w:tcBorders>
            <w:shd w:fill="999999" w:val="cle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color w:val="ffffff"/>
                <w:sz w:val="26"/>
                <w:szCs w:val="26"/>
                <w:vertAlign w:val="baseline"/>
              </w:rPr>
            </w:pPr>
            <w:r w:rsidDel="00000000" w:rsidR="00000000" w:rsidRPr="00000000">
              <w:rPr>
                <w:rFonts w:ascii="Times New Roman" w:cs="Times New Roman" w:eastAsia="Times New Roman" w:hAnsi="Times New Roman"/>
                <w:b w:val="1"/>
                <w:color w:val="ffffff"/>
                <w:sz w:val="26"/>
                <w:szCs w:val="26"/>
                <w:vertAlign w:val="baseline"/>
                <w:rtl w:val="0"/>
              </w:rPr>
              <w:t xml:space="preserve">PERSONAL DETAILS</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1. Name (Family, Middle, First name):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NGUYEN VAN PHU</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2. Current residential address: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Nho Lâm- Ngọc Lâm- Mỹ Hào- Hưng Yên </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3. Postal address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Department of Plant Physiology – Faculty of Agronomy – Hanoi University of Agriculture, Trau Quy – Gia Lam – Hanoi – Vietnam</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4. Office telephone: </w:t>
            </w:r>
            <w:r w:rsidDel="00000000" w:rsidR="00000000" w:rsidRPr="00000000">
              <w:rPr>
                <w:rFonts w:ascii="Times New Roman" w:cs="Times New Roman" w:eastAsia="Times New Roman" w:hAnsi="Times New Roman"/>
                <w:vertAlign w:val="baseline"/>
                <w:rtl w:val="0"/>
              </w:rPr>
              <w:t xml:space="preserve">+84 462617585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2300"/>
              </w:tabs>
              <w:ind w:right="7856.929133858268"/>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5. Home telephone: </w:t>
            </w:r>
            <w:r w:rsidDel="00000000" w:rsidR="00000000" w:rsidRPr="00000000">
              <w:rPr>
                <w:rFonts w:ascii="Times New Roman" w:cs="Times New Roman" w:eastAsia="Times New Roman" w:hAnsi="Times New Roman"/>
                <w:vertAlign w:val="baseline"/>
                <w:rtl w:val="0"/>
              </w:rPr>
              <w:t xml:space="preserve">+84 0912004917</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6. E-mail: </w:t>
            </w:r>
            <w:r w:rsidDel="00000000" w:rsidR="00000000" w:rsidRPr="00000000">
              <w:rPr>
                <w:rFonts w:ascii="Times New Roman" w:cs="Times New Roman" w:eastAsia="Times New Roman" w:hAnsi="Times New Roman"/>
                <w:vertAlign w:val="baseline"/>
                <w:rtl w:val="0"/>
              </w:rPr>
              <w:t xml:space="preserve">nvphusltv@gmail.com</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7. Fax: </w:t>
            </w:r>
            <w:r w:rsidDel="00000000" w:rsidR="00000000" w:rsidRPr="00000000">
              <w:rPr>
                <w:rFonts w:ascii="Times New Roman" w:cs="Times New Roman" w:eastAsia="Times New Roman" w:hAnsi="Times New Roman"/>
                <w:vertAlign w:val="baseline"/>
                <w:rtl w:val="0"/>
              </w:rPr>
              <w:t xml:space="preserve"> +84 4 36762892</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8. Date of birth: </w:t>
            </w:r>
            <w:r w:rsidDel="00000000" w:rsidR="00000000" w:rsidRPr="00000000">
              <w:rPr>
                <w:rFonts w:ascii="Times New Roman" w:cs="Times New Roman" w:eastAsia="Times New Roman" w:hAnsi="Times New Roman"/>
                <w:vertAlign w:val="baseline"/>
                <w:rtl w:val="0"/>
              </w:rPr>
              <w:t xml:space="preserve">29 september, 1962</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9. Place of birth: </w:t>
            </w:r>
            <w:r w:rsidDel="00000000" w:rsidR="00000000" w:rsidRPr="00000000">
              <w:rPr>
                <w:rFonts w:ascii="Times New Roman" w:cs="Times New Roman" w:eastAsia="Times New Roman" w:hAnsi="Times New Roman"/>
                <w:vertAlign w:val="baseline"/>
                <w:rtl w:val="0"/>
              </w:rPr>
              <w:t xml:space="preserve">Hung Yen, Viet Nam</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10. Citizenship: </w:t>
            </w:r>
            <w:r w:rsidDel="00000000" w:rsidR="00000000" w:rsidRPr="00000000">
              <w:rPr>
                <w:rFonts w:ascii="Times New Roman" w:cs="Times New Roman" w:eastAsia="Times New Roman" w:hAnsi="Times New Roman"/>
                <w:vertAlign w:val="baseline"/>
                <w:rtl w:val="0"/>
              </w:rPr>
              <w:t xml:space="preserve">Vietnamese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c>
          <w:tcPr>
            <w:gridSpan w:val="4"/>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shd w:fill="999999" w:val="cle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color w:val="ffffff"/>
                <w:vertAlign w:val="baseline"/>
                <w:rtl w:val="0"/>
              </w:rPr>
              <w:t xml:space="preserve">EDUCATIONAL QUALIFICATIONS AND INTERESTS</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11. Field of study and specialisation:</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Agriculture (Crop Science)</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2300"/>
              </w:tabs>
              <w:spacing w:after="12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12. Tertiary academic qualifications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2300"/>
              </w:tabs>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Degrees/diplomas obtained/underway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2300"/>
              </w:tabs>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Field of study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2300"/>
              </w:tabs>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Institution &amp; location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2300"/>
              </w:tabs>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Study duration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Bachelor of Science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Agriculture (Crop Science)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Hanoi University of Agriculture (Vietnam)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1978-1983</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Doctor of Philosophy</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Agrochemistry and Plant Nutrition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2300"/>
              </w:tabs>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Czech University of Agriculture in Prague (Czech Republic)</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1998 - 2003</w:t>
            </w: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r>
      <w:tr>
        <w:tc>
          <w:tcPr>
            <w:gridSpan w:val="6"/>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13. Prizes, awards, scholarships, professional honours: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Excellent teachers  awarded by  Thai Nguyen University of Agriculture (1985- 1995)</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2300"/>
              </w:tabs>
              <w:spacing w:before="12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Certificate for handing over new technology for farmers (1993-1995)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2300"/>
              </w:tabs>
              <w:spacing w:before="120" w:lineRule="auto"/>
              <w:rPr>
                <w:rFonts w:ascii="Times New Roman" w:cs="Times New Roman" w:eastAsia="Times New Roman" w:hAnsi="Times New Roman"/>
                <w:b w:val="0"/>
                <w:sz w:val="24"/>
                <w:szCs w:val="24"/>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14. Membership of cultural, scientific, professional and educational societies or organisations:</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2300"/>
              </w:tabs>
              <w:spacing w:after="120" w:before="12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Member of the Cetre for International Training, Thai Nguyen University  </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shd w:fill="999999" w:val="cle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color w:val="ffffff"/>
                <w:sz w:val="24"/>
                <w:szCs w:val="24"/>
                <w:vertAlign w:val="baseline"/>
              </w:rPr>
            </w:pPr>
            <w:r w:rsidDel="00000000" w:rsidR="00000000" w:rsidRPr="00000000">
              <w:rPr>
                <w:rFonts w:ascii="Times New Roman" w:cs="Times New Roman" w:eastAsia="Times New Roman" w:hAnsi="Times New Roman"/>
                <w:b w:val="1"/>
                <w:color w:val="ffffff"/>
                <w:vertAlign w:val="baseline"/>
                <w:rtl w:val="0"/>
              </w:rPr>
              <w:t xml:space="preserve">EMPLOYMENT HISTORY </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15. Employment experience</w:t>
            </w: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before="12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Lecturer (1984- 1998): Department of  Plant Biochemistry and Physiology, Faculty of Agronomy, Thai Nguyen University</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before="12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PhD. Student (1998-2003) in Department of Agrochemistry and Plant Nutrition, Czech University of Agriculture in Prague, Czech Republic</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before="12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Lecturer ( 2003-2009): Department of  Plant Biochemistry and Physiology, Faculty of Agronomy, Thai Nguyen University</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before="12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Lecturer (2009-present) Department of Plant Physiology; Agronomy Faculty,  Hanoi University of Agriculture,Viet Nam </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before="12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before="12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Teaching subjects: </w:t>
            </w:r>
            <w:r w:rsidDel="00000000" w:rsidR="00000000" w:rsidRPr="00000000">
              <w:rPr>
                <w:rtl w:val="0"/>
              </w:rPr>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hd w:fill="auto" w:val="clear"/>
              <w:spacing w:before="120" w:lineRule="auto"/>
              <w:ind w:left="720" w:hanging="360"/>
              <w:rPr>
                <w:b w:val="0"/>
                <w:sz w:val="24"/>
                <w:szCs w:val="24"/>
              </w:rPr>
            </w:pPr>
            <w:r w:rsidDel="00000000" w:rsidR="00000000" w:rsidRPr="00000000">
              <w:rPr>
                <w:rFonts w:ascii="Times New Roman" w:cs="Times New Roman" w:eastAsia="Times New Roman" w:hAnsi="Times New Roman"/>
                <w:vertAlign w:val="baseline"/>
                <w:rtl w:val="0"/>
              </w:rPr>
              <w:t xml:space="preserve">Plant Physiology</w:t>
            </w:r>
            <w:r w:rsidDel="00000000" w:rsidR="00000000" w:rsidRPr="00000000">
              <w:rPr>
                <w:rtl w:val="0"/>
              </w:rPr>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hd w:fill="auto" w:val="clear"/>
              <w:spacing w:before="120" w:lineRule="auto"/>
              <w:ind w:left="720" w:hanging="360"/>
              <w:rPr>
                <w:b w:val="0"/>
                <w:sz w:val="24"/>
                <w:szCs w:val="24"/>
              </w:rPr>
            </w:pPr>
            <w:r w:rsidDel="00000000" w:rsidR="00000000" w:rsidRPr="00000000">
              <w:rPr>
                <w:rFonts w:ascii="Times New Roman" w:cs="Times New Roman" w:eastAsia="Times New Roman" w:hAnsi="Times New Roman"/>
                <w:vertAlign w:val="baseline"/>
                <w:rtl w:val="0"/>
              </w:rPr>
              <w:t xml:space="preserve">Plant Nutrition</w:t>
            </w:r>
            <w:r w:rsidDel="00000000" w:rsidR="00000000" w:rsidRPr="00000000">
              <w:rPr>
                <w:rtl w:val="0"/>
              </w:rPr>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hd w:fill="auto" w:val="clear"/>
              <w:spacing w:before="120" w:lineRule="auto"/>
              <w:ind w:left="720" w:hanging="360"/>
              <w:rPr>
                <w:b w:val="0"/>
                <w:sz w:val="24"/>
                <w:szCs w:val="24"/>
              </w:rPr>
            </w:pPr>
            <w:r w:rsidDel="00000000" w:rsidR="00000000" w:rsidRPr="00000000">
              <w:rPr>
                <w:rFonts w:ascii="Times New Roman" w:cs="Times New Roman" w:eastAsia="Times New Roman" w:hAnsi="Times New Roman"/>
                <w:vertAlign w:val="baseline"/>
                <w:rtl w:val="0"/>
              </w:rPr>
              <w:t xml:space="preserve">Organic Farming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before="12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Field of Research: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before="120" w:lineRule="auto"/>
              <w:ind w:left="72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Photosynthesis, yield of dry matter in food production.</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before="120" w:lineRule="auto"/>
              <w:ind w:left="72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Use of effective fertilizers</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before="120" w:lineRule="auto"/>
              <w:ind w:left="72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Use of organic fertilizers for sustainable agriculture</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before="12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Extension: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before="120" w:lineRule="auto"/>
              <w:ind w:left="72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Use of effective fertilizers in food production</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2300"/>
              </w:tabs>
              <w:spacing w:before="120" w:lineRule="auto"/>
              <w:ind w:left="36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Calculation of applied fertilize level based on physiologycal criteria </w:t>
            </w:r>
            <w:r w:rsidDel="00000000" w:rsidR="00000000" w:rsidRPr="00000000">
              <w:rPr>
                <w:rtl w:val="0"/>
              </w:rPr>
            </w:r>
          </w:p>
          <w:p w:rsidR="00000000" w:rsidDel="00000000" w:rsidP="00000000" w:rsidRDefault="00000000" w:rsidRPr="00000000" w14:paraId="000000A0">
            <w:pPr>
              <w:pStyle w:val="Heading3"/>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Projects involved and promoter:</w:t>
            </w:r>
          </w:p>
          <w:p w:rsidR="00000000" w:rsidDel="00000000" w:rsidP="00000000" w:rsidRDefault="00000000" w:rsidRPr="00000000" w14:paraId="000000A1">
            <w:pPr>
              <w:numPr>
                <w:ilvl w:val="0"/>
                <w:numId w:val="2"/>
              </w:numPr>
              <w:pBdr>
                <w:top w:space="0" w:sz="0" w:val="nil"/>
                <w:left w:space="0" w:sz="0" w:val="nil"/>
                <w:bottom w:space="0" w:sz="0" w:val="nil"/>
                <w:right w:space="0" w:sz="0" w:val="nil"/>
                <w:between w:space="0" w:sz="0" w:val="nil"/>
              </w:pBdr>
              <w:shd w:fill="auto" w:val="clear"/>
              <w:spacing w:before="120" w:lineRule="auto"/>
              <w:ind w:left="720" w:hanging="360"/>
              <w:rPr>
                <w:b w:val="0"/>
                <w:sz w:val="24"/>
                <w:szCs w:val="24"/>
              </w:rPr>
            </w:pPr>
            <w:r w:rsidDel="00000000" w:rsidR="00000000" w:rsidRPr="00000000">
              <w:rPr>
                <w:rFonts w:ascii="Times New Roman" w:cs="Times New Roman" w:eastAsia="Times New Roman" w:hAnsi="Times New Roman"/>
                <w:vertAlign w:val="baseline"/>
                <w:rtl w:val="0"/>
              </w:rPr>
              <w:t xml:space="preserve">Use of effective fertilizers in food production</w:t>
            </w:r>
            <w:r w:rsidDel="00000000" w:rsidR="00000000" w:rsidRPr="00000000">
              <w:rPr>
                <w:rtl w:val="0"/>
              </w:rPr>
            </w:r>
          </w:p>
          <w:p w:rsidR="00000000" w:rsidDel="00000000" w:rsidP="00000000" w:rsidRDefault="00000000" w:rsidRPr="00000000" w14:paraId="000000A2">
            <w:pPr>
              <w:numPr>
                <w:ilvl w:val="0"/>
                <w:numId w:val="2"/>
              </w:numPr>
              <w:pBdr>
                <w:top w:space="0" w:sz="0" w:val="nil"/>
                <w:left w:space="0" w:sz="0" w:val="nil"/>
                <w:bottom w:space="0" w:sz="0" w:val="nil"/>
                <w:right w:space="0" w:sz="0" w:val="nil"/>
                <w:between w:space="0" w:sz="0" w:val="nil"/>
              </w:pBdr>
              <w:shd w:fill="auto" w:val="clear"/>
              <w:spacing w:before="120" w:lineRule="auto"/>
              <w:ind w:left="720" w:hanging="360"/>
              <w:rPr>
                <w:b w:val="0"/>
                <w:sz w:val="24"/>
                <w:szCs w:val="24"/>
              </w:rPr>
            </w:pPr>
            <w:r w:rsidDel="00000000" w:rsidR="00000000" w:rsidRPr="00000000">
              <w:rPr>
                <w:rFonts w:ascii="Times New Roman" w:cs="Times New Roman" w:eastAsia="Times New Roman" w:hAnsi="Times New Roman"/>
                <w:vertAlign w:val="baseline"/>
                <w:rtl w:val="0"/>
              </w:rPr>
              <w:t xml:space="preserve">Organic farming for sustainable agriculture in Viet Nam </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2300"/>
              </w:tabs>
              <w:jc w:val="center"/>
              <w:rPr>
                <w:rFonts w:ascii="Times New Roman" w:cs="Times New Roman" w:eastAsia="Times New Roman" w:hAnsi="Times New Roman"/>
                <w:b w:val="0"/>
                <w:sz w:val="24"/>
                <w:szCs w:val="24"/>
                <w:vertAlign w:val="baseline"/>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16. Relevant publications, papers and titles of theses submitted for any degree:</w:t>
              <w:br w:type="textWrapping"/>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right="-533"/>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right="-533"/>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vertAlign w:val="baseline"/>
                <w:rtl w:val="0"/>
              </w:rPr>
              <w:t xml:space="preserve">1</w:t>
            </w:r>
            <w:r w:rsidDel="00000000" w:rsidR="00000000" w:rsidRPr="00000000">
              <w:rPr>
                <w:rFonts w:ascii="Times New Roman" w:cs="Times New Roman" w:eastAsia="Times New Roman" w:hAnsi="Times New Roman"/>
                <w:sz w:val="22"/>
                <w:szCs w:val="22"/>
                <w:vertAlign w:val="baseline"/>
                <w:rtl w:val="0"/>
              </w:rPr>
              <w:t xml:space="preserve">. Effects of Nitrogen and Magnesium foliar application on criteria of leaf chlorophyll content and nitrogen content in wheat (2002) </w:t>
            </w:r>
            <w:r w:rsidDel="00000000" w:rsidR="00000000" w:rsidRPr="00000000">
              <w:rPr>
                <w:rFonts w:ascii="Times New Roman" w:cs="Times New Roman" w:eastAsia="Times New Roman" w:hAnsi="Times New Roman"/>
                <w:i w:val="1"/>
                <w:sz w:val="22"/>
                <w:szCs w:val="22"/>
                <w:vertAlign w:val="baseline"/>
                <w:rtl w:val="0"/>
              </w:rPr>
              <w:t xml:space="preserve">J. Crop Sci.</w:t>
            </w:r>
            <w:r w:rsidDel="00000000" w:rsidR="00000000" w:rsidRPr="00000000">
              <w:rPr>
                <w:rFonts w:ascii="Times New Roman" w:cs="Times New Roman" w:eastAsia="Times New Roman" w:hAnsi="Times New Roman"/>
                <w:sz w:val="22"/>
                <w:szCs w:val="22"/>
                <w:vertAlign w:val="baseline"/>
                <w:rtl w:val="0"/>
              </w:rPr>
              <w:t xml:space="preserve"> Czech University of Agriculture in Prague</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left="709" w:right="-533" w:hanging="709"/>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2. Effects of nitrogen levels mixture with magnesium foliar application on criteria of leaf chlorophyl content, nitrogen content and potato yield, (2003) in Plant Production</w:t>
            </w:r>
            <w:r w:rsidDel="00000000" w:rsidR="00000000" w:rsidRPr="00000000">
              <w:rPr>
                <w:i w:val="1"/>
                <w:sz w:val="22"/>
                <w:szCs w:val="22"/>
                <w:vertAlign w:val="baseline"/>
                <w:rtl w:val="0"/>
              </w:rPr>
              <w:t xml:space="preserve">. Proceeding of 7th</w:t>
            </w:r>
            <w:r w:rsidDel="00000000" w:rsidR="00000000" w:rsidRPr="00000000">
              <w:rPr>
                <w:sz w:val="22"/>
                <w:szCs w:val="22"/>
                <w:vertAlign w:val="baseline"/>
                <w:rtl w:val="0"/>
              </w:rPr>
              <w:t xml:space="preserve"> International C</w:t>
            </w:r>
            <w:r w:rsidDel="00000000" w:rsidR="00000000" w:rsidRPr="00000000">
              <w:rPr>
                <w:i w:val="1"/>
                <w:sz w:val="22"/>
                <w:szCs w:val="22"/>
                <w:vertAlign w:val="baseline"/>
                <w:rtl w:val="0"/>
              </w:rPr>
              <w:t xml:space="preserve">onference,</w:t>
            </w:r>
            <w:r w:rsidDel="00000000" w:rsidR="00000000" w:rsidRPr="00000000">
              <w:rPr>
                <w:sz w:val="22"/>
                <w:szCs w:val="22"/>
                <w:vertAlign w:val="baseline"/>
                <w:rtl w:val="0"/>
              </w:rPr>
              <w:t xml:space="preserve"> Czech University of Agriculture in Prague</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right="-533"/>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3.Effects of sewage sludge on quality and yield of fruit tomato (2007), </w:t>
            </w:r>
            <w:r w:rsidDel="00000000" w:rsidR="00000000" w:rsidRPr="00000000">
              <w:rPr>
                <w:rFonts w:ascii="Times New Roman" w:cs="Times New Roman" w:eastAsia="Times New Roman" w:hAnsi="Times New Roman"/>
                <w:i w:val="1"/>
                <w:sz w:val="22"/>
                <w:szCs w:val="22"/>
                <w:vertAlign w:val="baseline"/>
                <w:rtl w:val="0"/>
              </w:rPr>
              <w:t xml:space="preserve">J. Crop Sci.</w:t>
            </w:r>
            <w:r w:rsidDel="00000000" w:rsidR="00000000" w:rsidRPr="00000000">
              <w:rPr>
                <w:rFonts w:ascii="Times New Roman" w:cs="Times New Roman" w:eastAsia="Times New Roman" w:hAnsi="Times New Roman"/>
                <w:sz w:val="22"/>
                <w:szCs w:val="22"/>
                <w:vertAlign w:val="baseline"/>
                <w:rtl w:val="0"/>
              </w:rPr>
              <w:t xml:space="preserve"> Thai Nguyen University</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right="-533"/>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4. Correlation between criteria of the Chlorophyll content, nitrogen content of the leaves and fresh green tea yield in Thai Nguyen (2008).</w:t>
            </w:r>
            <w:r w:rsidDel="00000000" w:rsidR="00000000" w:rsidRPr="00000000">
              <w:rPr>
                <w:rFonts w:ascii="Times New Roman" w:cs="Times New Roman" w:eastAsia="Times New Roman" w:hAnsi="Times New Roman"/>
                <w:i w:val="1"/>
                <w:sz w:val="22"/>
                <w:szCs w:val="22"/>
                <w:vertAlign w:val="baseline"/>
                <w:rtl w:val="0"/>
              </w:rPr>
              <w:t xml:space="preserve"> J. Crop Sci.</w:t>
            </w:r>
            <w:r w:rsidDel="00000000" w:rsidR="00000000" w:rsidRPr="00000000">
              <w:rPr>
                <w:rFonts w:ascii="Times New Roman" w:cs="Times New Roman" w:eastAsia="Times New Roman" w:hAnsi="Times New Roman"/>
                <w:sz w:val="22"/>
                <w:szCs w:val="22"/>
                <w:vertAlign w:val="baseline"/>
                <w:rtl w:val="0"/>
              </w:rPr>
              <w:t xml:space="preserve"> Thai Nguyen University</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right="-533"/>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5.Calculation of applied nitrogen level for green tea based on criteria of the leaf chlorophyll content (2009) </w:t>
            </w:r>
            <w:r w:rsidDel="00000000" w:rsidR="00000000" w:rsidRPr="00000000">
              <w:rPr>
                <w:rFonts w:ascii="Times New Roman" w:cs="Times New Roman" w:eastAsia="Times New Roman" w:hAnsi="Times New Roman"/>
                <w:i w:val="1"/>
                <w:sz w:val="22"/>
                <w:szCs w:val="22"/>
                <w:vertAlign w:val="baseline"/>
                <w:rtl w:val="0"/>
              </w:rPr>
              <w:t xml:space="preserve">J. Crop Sci.</w:t>
            </w:r>
            <w:r w:rsidDel="00000000" w:rsidR="00000000" w:rsidRPr="00000000">
              <w:rPr>
                <w:rFonts w:ascii="Times New Roman" w:cs="Times New Roman" w:eastAsia="Times New Roman" w:hAnsi="Times New Roman"/>
                <w:sz w:val="22"/>
                <w:szCs w:val="22"/>
                <w:vertAlign w:val="baseline"/>
                <w:rtl w:val="0"/>
              </w:rPr>
              <w:t xml:space="preserve"> Thai Nguyen University</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right="-533"/>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2"/>
                <w:szCs w:val="22"/>
                <w:vertAlign w:val="baseline"/>
                <w:rtl w:val="0"/>
              </w:rPr>
              <w:t xml:space="preserve">6. Ảnh hưởng của phân đạm chậm tan có vỏ bọc polime đến sinh trưởng và năng suất ngô vụ xuân tại Gia Lâm, Hà Nội (2012). Tạp chí Khoa Học và Phát Triển, số 2, 2012 </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80"/>
                <w:sz w:val="26"/>
                <w:szCs w:val="26"/>
                <w:vertAlign w:val="baseline"/>
              </w:rPr>
            </w:pPr>
            <w:r w:rsidDel="00000000" w:rsidR="00000000" w:rsidRPr="00000000">
              <w:rPr>
                <w:rFonts w:ascii="Times New Roman" w:cs="Times New Roman" w:eastAsia="Times New Roman" w:hAnsi="Times New Roman"/>
                <w:b w:val="1"/>
                <w:color w:val="000080"/>
                <w:sz w:val="26"/>
                <w:szCs w:val="26"/>
                <w:vertAlign w:val="baseline"/>
                <w:rtl w:val="0"/>
              </w:rPr>
              <w:t xml:space="preserve">7. Giáo trình Sinh lý Thực vật Ứng dung, (2015) nhà xuất bản Đại Học nong Nghiệp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80"/>
                <w:sz w:val="26"/>
                <w:szCs w:val="26"/>
                <w:vertAlign w:val="baseline"/>
              </w:rPr>
            </w:pPr>
            <w:r w:rsidDel="00000000" w:rsidR="00000000" w:rsidRPr="00000000">
              <w:rPr>
                <w:rFonts w:ascii="Times New Roman" w:cs="Times New Roman" w:eastAsia="Times New Roman" w:hAnsi="Times New Roman"/>
                <w:b w:val="1"/>
                <w:color w:val="000080"/>
                <w:sz w:val="26"/>
                <w:szCs w:val="26"/>
                <w:vertAlign w:val="baseline"/>
                <w:rtl w:val="0"/>
              </w:rPr>
              <w:t xml:space="preserve">8. Lưu giữ </w:t>
            </w:r>
            <w:r w:rsidDel="00000000" w:rsidR="00000000" w:rsidRPr="00000000">
              <w:rPr>
                <w:rFonts w:ascii="Times New Roman" w:cs="Times New Roman" w:eastAsia="Times New Roman" w:hAnsi="Times New Roman"/>
                <w:b w:val="1"/>
                <w:i w:val="1"/>
                <w:color w:val="000080"/>
                <w:sz w:val="26"/>
                <w:szCs w:val="26"/>
                <w:vertAlign w:val="baseline"/>
                <w:rtl w:val="0"/>
              </w:rPr>
              <w:t xml:space="preserve">in vitro</w:t>
            </w:r>
            <w:r w:rsidDel="00000000" w:rsidR="00000000" w:rsidRPr="00000000">
              <w:rPr>
                <w:rFonts w:ascii="Times New Roman" w:cs="Times New Roman" w:eastAsia="Times New Roman" w:hAnsi="Times New Roman"/>
                <w:b w:val="1"/>
                <w:color w:val="000080"/>
                <w:sz w:val="26"/>
                <w:szCs w:val="26"/>
                <w:vertAlign w:val="baseline"/>
                <w:rtl w:val="0"/>
              </w:rPr>
              <w:t xml:space="preserve"> nguồn gen khoai môn bản địa (</w:t>
            </w:r>
            <w:r w:rsidDel="00000000" w:rsidR="00000000" w:rsidRPr="00000000">
              <w:rPr>
                <w:rFonts w:ascii="Times New Roman" w:cs="Times New Roman" w:eastAsia="Times New Roman" w:hAnsi="Times New Roman"/>
                <w:b w:val="1"/>
                <w:i w:val="1"/>
                <w:color w:val="000080"/>
                <w:sz w:val="26"/>
                <w:szCs w:val="26"/>
                <w:vertAlign w:val="baseline"/>
                <w:rtl w:val="0"/>
              </w:rPr>
              <w:t xml:space="preserve">Colocasia esculenta</w:t>
            </w:r>
            <w:r w:rsidDel="00000000" w:rsidR="00000000" w:rsidRPr="00000000">
              <w:rPr>
                <w:rFonts w:ascii="Times New Roman" w:cs="Times New Roman" w:eastAsia="Times New Roman" w:hAnsi="Times New Roman"/>
                <w:b w:val="1"/>
                <w:color w:val="000080"/>
                <w:sz w:val="26"/>
                <w:szCs w:val="26"/>
                <w:vertAlign w:val="baseline"/>
                <w:rtl w:val="0"/>
              </w:rPr>
              <w:t xml:space="preserve"> (L) Schott. </w:t>
            </w:r>
            <w:r w:rsidDel="00000000" w:rsidR="00000000" w:rsidRPr="00000000">
              <w:rPr>
                <w:rFonts w:ascii="Times New Roman" w:cs="Times New Roman" w:eastAsia="Times New Roman" w:hAnsi="Times New Roman"/>
                <w:sz w:val="22"/>
                <w:szCs w:val="22"/>
                <w:vertAlign w:val="baseline"/>
                <w:rtl w:val="0"/>
              </w:rPr>
              <w:t xml:space="preserve">Tạp chí Khoa Học và Phát Triển, số 4, 2015</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80"/>
                <w:sz w:val="26"/>
                <w:szCs w:val="26"/>
                <w:vertAlign w:val="baseline"/>
              </w:rPr>
            </w:pPr>
            <w:r w:rsidDel="00000000" w:rsidR="00000000" w:rsidRPr="00000000">
              <w:rPr>
                <w:rFonts w:ascii="Times New Roman" w:cs="Times New Roman" w:eastAsia="Times New Roman" w:hAnsi="Times New Roman"/>
                <w:b w:val="1"/>
                <w:color w:val="000080"/>
                <w:sz w:val="26"/>
                <w:szCs w:val="26"/>
                <w:vertAlign w:val="baseline"/>
                <w:rtl w:val="0"/>
              </w:rPr>
              <w:t xml:space="preserve">17. HƯỚNG DẪN CAO HỌC ĐÃ TỐT NGHIỆP VÀ NGHIÊN CỨU SINH</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color w:val="000080"/>
                <w:sz w:val="26"/>
                <w:szCs w:val="26"/>
                <w:vertAlign w:val="baseline"/>
              </w:rPr>
            </w:pPr>
            <w:r w:rsidDel="00000000" w:rsidR="00000000" w:rsidRPr="00000000">
              <w:rPr>
                <w:rFonts w:ascii="Times New Roman" w:cs="Times New Roman" w:eastAsia="Times New Roman" w:hAnsi="Times New Roman"/>
                <w:b w:val="1"/>
                <w:color w:val="000080"/>
                <w:sz w:val="26"/>
                <w:szCs w:val="26"/>
                <w:vertAlign w:val="baseline"/>
                <w:rtl w:val="0"/>
              </w:rPr>
              <w:t xml:space="preserve">16.1. Cao học đã tốt nghiệp</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both"/>
              <w:rPr>
                <w:rFonts w:ascii="Garamond" w:cs="Garamond" w:eastAsia="Garamond" w:hAnsi="Garamond"/>
                <w:b w:val="0"/>
                <w:color w:val="000080"/>
                <w:sz w:val="26"/>
                <w:szCs w:val="26"/>
                <w:vertAlign w:val="baseline"/>
              </w:rPr>
            </w:pPr>
            <w:r w:rsidDel="00000000" w:rsidR="00000000" w:rsidRPr="00000000">
              <w:rPr>
                <w:rtl w:val="0"/>
              </w:rPr>
            </w:r>
          </w:p>
          <w:tbl>
            <w:tblPr>
              <w:tblStyle w:val="Table2"/>
              <w:tblW w:w="151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7"/>
              <w:gridCol w:w="2430"/>
              <w:gridCol w:w="5659"/>
              <w:gridCol w:w="2520"/>
              <w:gridCol w:w="3960"/>
              <w:tblGridChange w:id="0">
                <w:tblGrid>
                  <w:gridCol w:w="607"/>
                  <w:gridCol w:w="2430"/>
                  <w:gridCol w:w="5659"/>
                  <w:gridCol w:w="2520"/>
                  <w:gridCol w:w="3960"/>
                </w:tblGrid>
              </w:tblGridChange>
            </w:tblGrid>
            <w:tr>
              <w:tc>
                <w:tcP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TT</w:t>
                  </w:r>
                  <w:r w:rsidDel="00000000" w:rsidR="00000000" w:rsidRPr="00000000">
                    <w:rPr>
                      <w:rtl w:val="0"/>
                    </w:rPr>
                  </w:r>
                </w:p>
              </w:tc>
              <w:tc>
                <w:tcP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Họ và tên</w:t>
                  </w:r>
                  <w:r w:rsidDel="00000000" w:rsidR="00000000" w:rsidRPr="00000000">
                    <w:rPr>
                      <w:rtl w:val="0"/>
                    </w:rPr>
                  </w:r>
                </w:p>
              </w:tc>
              <w:tc>
                <w:tcP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Tên luận văn</w:t>
                  </w:r>
                  <w:r w:rsidDel="00000000" w:rsidR="00000000" w:rsidRPr="00000000">
                    <w:rPr>
                      <w:rtl w:val="0"/>
                    </w:rPr>
                  </w:r>
                </w:p>
              </w:tc>
              <w:tc>
                <w:tcP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Thời gian</w:t>
                  </w:r>
                  <w:r w:rsidDel="00000000" w:rsidR="00000000" w:rsidRPr="00000000">
                    <w:rPr>
                      <w:rtl w:val="0"/>
                    </w:rPr>
                  </w:r>
                </w:p>
              </w:tc>
              <w:tc>
                <w:tcP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Cơ sở đào tạo</w:t>
                  </w:r>
                  <w:r w:rsidDel="00000000" w:rsidR="00000000" w:rsidRPr="00000000">
                    <w:rPr>
                      <w:rtl w:val="0"/>
                    </w:rPr>
                  </w:r>
                </w:p>
              </w:tc>
            </w:tr>
            <w:tr>
              <w:tc>
                <w:tcP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w:t>
                  </w:r>
                </w:p>
              </w:tc>
              <w:tc>
                <w:tcP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Vũ Hữu Cường</w:t>
                  </w:r>
                </w:p>
              </w:tc>
              <w:tc>
                <w:tcP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Nghiên cứu một số biện pháp kỹ thuật phát triển cây Hồng không hạt tạ Bắc Kan</w:t>
                  </w:r>
                </w:p>
              </w:tc>
              <w:tc>
                <w:tcP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2004-2005</w:t>
                  </w:r>
                </w:p>
              </w:tc>
              <w:tc>
                <w:tcP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Đại hoc Nông Lâm Thái Nguyên</w:t>
                  </w:r>
                </w:p>
              </w:tc>
            </w:tr>
            <w:tr>
              <w:tc>
                <w:tcP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w:t>
                  </w:r>
                </w:p>
              </w:tc>
              <w:tc>
                <w:tcP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Phạm Anh Tuấn</w:t>
                  </w:r>
                </w:p>
              </w:tc>
              <w:tc>
                <w:tcP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Ảnh hưởng của phân hữu cơ vi sinh đến năng suất, chất lượng chè tai Phú Lương, Thái Nguyên </w:t>
                  </w:r>
                </w:p>
              </w:tc>
              <w:tc>
                <w:tcP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2006-2007</w:t>
                  </w:r>
                </w:p>
              </w:tc>
              <w:tc>
                <w:tcP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Đại hoc Nông Lâm Thái Nguyên</w:t>
                  </w:r>
                </w:p>
              </w:tc>
            </w:tr>
            <w:tr>
              <w:tc>
                <w:tcP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3</w:t>
                  </w:r>
                </w:p>
              </w:tc>
              <w:tc>
                <w:tcP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Phún Trung Hiếu</w:t>
                  </w:r>
                </w:p>
              </w:tc>
              <w:tc>
                <w:tcP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Ảnh hương của dinh dưỡng N,Mg và phân bón lá đến năng suất lúa tai Thái Nguyên</w:t>
                  </w:r>
                </w:p>
              </w:tc>
              <w:tc>
                <w:tcP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2003-2004</w:t>
                  </w:r>
                </w:p>
              </w:tc>
              <w:tc>
                <w:tcP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Đại hoc Nông Lâm Thái Nguyên</w:t>
                  </w:r>
                </w:p>
              </w:tc>
            </w:tr>
            <w:tr>
              <w:tc>
                <w:tcP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4</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5</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6</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7</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8</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9</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10</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11</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13</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14</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15</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16</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17</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18</w:t>
                  </w:r>
                </w:p>
              </w:tc>
              <w:tc>
                <w:tcP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Nguyễn Đức Lâm</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Nguyễn Đức Mạnh</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Nguyên Thị Thu Hương</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Trần Thị Quế</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Nguyễn Quang Vinh</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Đào Mạnh Quyền</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Nguyễn Thị Tuyết</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Nguyễn Văn Lam</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Nguyễn ngọc Linh</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Trần Thị Thu</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Kiều Thị Bích Liên</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Đoàn Thị Huê</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Nghiên cứu đặc điểm nông sinh học và sử dụng chế phẩm EM cho giống táo nhập nội tại Sapa</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Nghiên cứu ảnh hưởng của phân chậm tan đến năng suất, chất lượng cà chua vụ đông 2010 tại Gia Lâm Hà Nội</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Nghiên cứu ảnh hưởng của các nguồn phân hữu cơ đã sử lý đến năng suất, chất lượng cà chua vụ đông 2010 tại Băc Ninh </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Nghiên cứu ảnh hưởng của các nguồn phân hữu cơ đã sử lý đến năng suất lúa 2010 tại Băc Ninh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Nghiên cứu ảnh hưởng của phân đạm chậm tan đến năng suất, chất lượng cà chua vụ đông 2010 tại Băc Ninh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Đăc điểm sinh trưởng, năng suất của một số giống lúa và ảnh hưởng của phân bón lá đến giống Bắc Thơm 7 vụ xuân 2112  tại Thanh Miện,  Hải Dương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Đăc điểm sinh trưởng, năng suất của một số giống ngô và ảnh hưởng của phân bón lá đến giống 4300  vụ xuân 2011 tại Kim Động, Hưng Yên</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Đăc điểm sinh trưởng, năng suất của một số giống lúa và ảnh hưởng của phân bón lá đến giống Bắc Thơm 7 vụ xuân 2012  tại  Kim Động, Hưng Yên</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2008-2009</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2009-2010</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2009-2010</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Đại hoc Nông Lâm Thái Nguyên</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Đại hoc Nông nghiệp Hà Nội</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120" w:before="0" w:line="480" w:lineRule="auto"/>
                    <w:ind w:left="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Đại hoc Nông nghiệp Hà Nội</w:t>
                  </w:r>
                </w:p>
              </w:tc>
            </w:tr>
          </w:tbl>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before="0" w:line="360" w:lineRule="auto"/>
              <w:ind w:left="0" w:firstLine="0"/>
              <w:rPr>
                <w:rFonts w:ascii="Times New Roman" w:cs="Times New Roman" w:eastAsia="Times New Roman" w:hAnsi="Times New Roman"/>
                <w:b w:val="0"/>
                <w:sz w:val="24"/>
                <w:szCs w:val="24"/>
                <w:vertAlign w:val="baseline"/>
              </w:rPr>
            </w:pPr>
            <w:r w:rsidDel="00000000" w:rsidR="00000000" w:rsidRPr="00000000">
              <w:rPr>
                <w:rtl w:val="0"/>
              </w:rPr>
            </w:r>
          </w:p>
        </w:tc>
      </w:tr>
      <w:tr>
        <w:trPr>
          <w:trHeight w:val="60" w:hRule="atLeast"/>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18. Declaration:</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I declare that the information contained in and provided in connection with this application is true and correct. </w:t>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r>
      <w:tr>
        <w:trPr>
          <w:trHeight w:val="6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Signature:</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Nguyễn Văn Phú</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Date:</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Oct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2015</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left" w:pos="2300"/>
              </w:tabs>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sectPr>
      <w:pgSz w:h="15840" w:w="12240"/>
      <w:pgMar w:bottom="1440.0000000000002"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999"/>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120" w:line="240" w:lineRule="auto"/>
    </w:pPr>
    <w:rPr>
      <w:rFonts w:ascii="Arial" w:cs="Arial" w:eastAsia="Arial" w:hAnsi="Arial"/>
      <w:b w:val="1"/>
      <w:i w:val="1"/>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Garamond" w:cs="Garamond" w:eastAsia="Garamond" w:hAnsi="Garamond"/>
      <w:b w:val="1"/>
      <w:sz w:val="30"/>
      <w:szCs w:val="30"/>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