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47" w:line="240" w:lineRule="auto"/>
        <w:ind w:left="0" w:right="0" w:firstLine="0"/>
        <w:jc w:val="center"/>
        <w:rPr/>
      </w:pPr>
      <w:bookmarkStart w:colFirst="0" w:colLast="0" w:name="_gjdgxs" w:id="0"/>
      <w:bookmarkEnd w:id="0"/>
      <w:r w:rsidDel="00000000" w:rsidR="00000000" w:rsidRPr="00000000">
        <w:rPr>
          <w:b w:val="1"/>
          <w:sz w:val="28"/>
          <w:szCs w:val="28"/>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57" w:line="276" w:lineRule="auto"/>
        <w:ind w:left="0" w:right="0" w:firstLine="0"/>
        <w:jc w:val="center"/>
        <w:rPr/>
      </w:pPr>
      <w:r w:rsidDel="00000000" w:rsidR="00000000" w:rsidRPr="00000000">
        <w:rPr>
          <w:b w:val="1"/>
          <w:sz w:val="28"/>
          <w:szCs w:val="28"/>
          <w:rtl w:val="0"/>
        </w:rPr>
        <w:t xml:space="preserve"> </w:t>
      </w:r>
      <w:r w:rsidDel="00000000" w:rsidR="00000000" w:rsidRPr="00000000">
        <w:rPr>
          <w:rtl w:val="0"/>
        </w:rPr>
      </w:r>
    </w:p>
    <w:tbl>
      <w:tblPr>
        <w:tblStyle w:val="Table1"/>
        <w:tblW w:w="9136.0" w:type="dxa"/>
        <w:jc w:val="left"/>
        <w:tblInd w:w="0.0" w:type="pct"/>
        <w:tblLayout w:type="fixed"/>
        <w:tblLook w:val="0400"/>
      </w:tblPr>
      <w:tblGrid>
        <w:gridCol w:w="2160"/>
        <w:gridCol w:w="6976"/>
        <w:tblGridChange w:id="0">
          <w:tblGrid>
            <w:gridCol w:w="2160"/>
            <w:gridCol w:w="6976"/>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1. Name</w:t>
            </w:r>
            <w:r w:rsidDel="00000000" w:rsidR="00000000" w:rsidRPr="00000000">
              <w:rPr>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PHAN Thi Hong Nhung </w:t>
              <w:tab/>
              <w:t xml:space="preserve"> </w:t>
              <w:tab/>
              <w:t xml:space="preserve"> </w:t>
              <w:tab/>
              <w:t xml:space="preserve">male/female: Female </w:t>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2. Date of Birth</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28</w:t>
            </w:r>
            <w:r w:rsidDel="00000000" w:rsidR="00000000" w:rsidRPr="00000000">
              <w:rPr>
                <w:vertAlign w:val="superscript"/>
                <w:rtl w:val="0"/>
              </w:rPr>
              <w:t xml:space="preserve">th</w:t>
            </w:r>
            <w:r w:rsidDel="00000000" w:rsidR="00000000" w:rsidRPr="00000000">
              <w:rPr>
                <w:rtl w:val="0"/>
              </w:rPr>
              <w:t xml:space="preserve">, August, 1987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3. Address</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804-CT5, Dang Xa residential area, Gialam district, Hanoi, Vietnam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4. Office</w:t>
            </w:r>
            <w:r w:rsidDel="00000000" w:rsidR="00000000" w:rsidRPr="00000000">
              <w:rPr>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Vietnam National University of Agriculture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5. Office address</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Trauquy town, Gialam district, Hanoi, Vietnam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6. E-mail</w:t>
            </w:r>
            <w:r w:rsidDel="00000000" w:rsidR="00000000" w:rsidRPr="00000000">
              <w:rPr>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ind w:left="0" w:right="0" w:firstLine="0"/>
              <w:rPr/>
            </w:pPr>
            <w:r w:rsidDel="00000000" w:rsidR="00000000" w:rsidRPr="00000000">
              <w:rPr>
                <w:color w:val="0000ff"/>
                <w:u w:val="single"/>
                <w:rtl w:val="0"/>
              </w:rPr>
              <w:t xml:space="preserve">phannhung@vnua.edu.vn</w:t>
            </w:r>
            <w:r w:rsidDel="00000000" w:rsidR="00000000" w:rsidRPr="00000000">
              <w:rPr>
                <w:rtl w:val="0"/>
              </w:rPr>
              <w:t xml:space="preserve"> </w:t>
            </w:r>
            <w:r w:rsidDel="00000000" w:rsidR="00000000" w:rsidRPr="00000000">
              <w:rPr>
                <w:b w:val="1"/>
                <w:rtl w:val="0"/>
              </w:rPr>
              <w:t xml:space="preserve">  Fax: </w:t>
            </w:r>
            <w:r w:rsidDel="00000000" w:rsidR="00000000" w:rsidRPr="00000000">
              <w:rPr>
                <w:rtl w:val="0"/>
              </w:rPr>
              <w:t xml:space="preserve">84-438276473</w:t>
            </w:r>
            <w:r w:rsidDel="00000000" w:rsidR="00000000" w:rsidRPr="00000000">
              <w:rPr>
                <w:b w:val="1"/>
                <w:rtl w:val="0"/>
              </w:rPr>
              <w:t xml:space="preserve">;  Tel:</w:t>
            </w:r>
            <w:r w:rsidDel="00000000" w:rsidR="00000000" w:rsidRPr="00000000">
              <w:rPr>
                <w:rtl w:val="0"/>
              </w:rPr>
              <w:t xml:space="preserve"> 84-438767360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7. Employment</w:t>
            </w:r>
            <w:r w:rsidDel="00000000" w:rsidR="00000000" w:rsidRPr="00000000">
              <w:rPr>
                <w:rtl w:val="0"/>
              </w:rPr>
              <w:t xml:space="preserve">:</w:t>
            </w:r>
            <w:r w:rsidDel="00000000" w:rsidR="00000000" w:rsidRPr="00000000">
              <w:rPr>
                <w:rFonts w:ascii="MS Mincho" w:cs="MS Mincho" w:eastAsia="MS Mincho" w:hAnsi="MS Mincho"/>
                <w:rtl w:val="0"/>
              </w:rPr>
              <w:t xml:space="preserve"> </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Lecturer at Vietnam National University of Agriculture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8. Position: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Lecturer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b w:val="1"/>
                <w:rtl w:val="0"/>
              </w:rPr>
              <w:t xml:space="preserve">9. Major</w:t>
            </w:r>
            <w:r w:rsidDel="00000000" w:rsidR="00000000" w:rsidRPr="00000000">
              <w:rPr>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Crop Science </w:t>
            </w:r>
          </w:p>
        </w:tc>
      </w:tr>
    </w:tbl>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37" w:line="240" w:lineRule="auto"/>
        <w:ind w:left="360" w:right="-15" w:hanging="360"/>
        <w:jc w:val="left"/>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45" w:line="268" w:lineRule="auto"/>
        <w:ind w:left="0" w:right="264" w:firstLine="0"/>
        <w:jc w:val="left"/>
        <w:rPr/>
      </w:pPr>
      <w:r w:rsidDel="00000000" w:rsidR="00000000" w:rsidRPr="00000000">
        <w:rPr>
          <w:rtl w:val="0"/>
        </w:rPr>
        <w:t xml:space="preserve">Sep. 2005 – Sep. 2009: undergraduate course at Hanoi University of Agriculture, Vietnam Oct. 2012 - Sep. 2014: master course at Crop Science laboratory, Ehime University, Japan 2015-2019: doctor course in University of Catholic de Louvain.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37" w:line="240" w:lineRule="auto"/>
        <w:ind w:left="360" w:right="-15" w:hanging="360"/>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5" w:firstLine="0"/>
        <w:rPr/>
      </w:pPr>
      <w:r w:rsidDel="00000000" w:rsidR="00000000" w:rsidRPr="00000000">
        <w:rPr>
          <w:rtl w:val="0"/>
        </w:rPr>
        <w:t xml:space="preserve">March, 2010 to present: lecturer at Vietnam National University of Agriculture (former name is Hanoi University of Agriculture)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37" w:line="240" w:lineRule="auto"/>
        <w:ind w:left="360" w:right="-15" w:hanging="360"/>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5" w:firstLine="0"/>
        <w:rPr/>
      </w:pPr>
      <w:r w:rsidDel="00000000" w:rsidR="00000000" w:rsidRPr="00000000">
        <w:rPr>
          <w:rtl w:val="0"/>
        </w:rPr>
        <w:t xml:space="preserve">Study on morphological and physiological characteristics related to salt stress and nitrogen use efficiency of rice plant.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37" w:line="240" w:lineRule="auto"/>
        <w:ind w:left="360" w:right="-15" w:hanging="360"/>
        <w:jc w:val="left"/>
        <w:rPr/>
      </w:pPr>
      <w:r w:rsidDel="00000000" w:rsidR="00000000" w:rsidRPr="00000000">
        <w:rPr>
          <w:b w:val="1"/>
          <w:rtl w:val="0"/>
        </w:rPr>
        <w:t xml:space="preserve">Teaching course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5" w:firstLine="0"/>
        <w:rPr/>
      </w:pPr>
      <w:r w:rsidDel="00000000" w:rsidR="00000000" w:rsidRPr="00000000">
        <w:rPr>
          <w:rtl w:val="0"/>
        </w:rPr>
        <w:t xml:space="preserve">For undergraduate program:  </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ind w:left="859" w:hanging="139.00000000000006"/>
        <w:rPr/>
      </w:pPr>
      <w:r w:rsidDel="00000000" w:rsidR="00000000" w:rsidRPr="00000000">
        <w:rPr>
          <w:rtl w:val="0"/>
        </w:rPr>
        <w:t xml:space="preserve">Food crop science 1 (rice plant)  </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ind w:left="859" w:hanging="139.00000000000006"/>
        <w:rPr/>
      </w:pPr>
      <w:r w:rsidDel="00000000" w:rsidR="00000000" w:rsidRPr="00000000">
        <w:rPr>
          <w:rtl w:val="0"/>
        </w:rPr>
        <w:t xml:space="preserve">Food crop science 2 (upland crop plants) </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ind w:left="859" w:hanging="139.00000000000006"/>
        <w:rPr/>
      </w:pPr>
      <w:r w:rsidDel="00000000" w:rsidR="00000000" w:rsidRPr="00000000">
        <w:rPr>
          <w:rtl w:val="0"/>
        </w:rPr>
        <w:t xml:space="preserve">Food crop science 3 (tuber root plants) </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ind w:left="859" w:hanging="139.00000000000006"/>
        <w:rPr/>
      </w:pPr>
      <w:r w:rsidDel="00000000" w:rsidR="00000000" w:rsidRPr="00000000">
        <w:rPr>
          <w:rtl w:val="0"/>
        </w:rPr>
        <w:t xml:space="preserve">Genearal of Food Crop science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37" w:line="240" w:lineRule="auto"/>
        <w:ind w:left="360" w:right="-15" w:hanging="360"/>
        <w:jc w:val="left"/>
        <w:rPr/>
      </w:pPr>
      <w:r w:rsidDel="00000000" w:rsidR="00000000" w:rsidRPr="00000000">
        <w:rPr>
          <w:b w:val="1"/>
          <w:rtl w:val="0"/>
        </w:rPr>
        <w:t xml:space="preserve">Publication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37" w:line="240" w:lineRule="auto"/>
        <w:ind w:left="-5" w:right="-15" w:hanging="10"/>
        <w:jc w:val="left"/>
        <w:rPr/>
      </w:pPr>
      <w:r w:rsidDel="00000000" w:rsidR="00000000" w:rsidRPr="00000000">
        <w:rPr>
          <w:b w:val="1"/>
          <w:rtl w:val="0"/>
        </w:rPr>
        <w:t xml:space="preserve">14.1. Papers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2" w:line="240" w:lineRule="auto"/>
        <w:ind w:left="0" w:right="0" w:firstLine="0"/>
        <w:jc w:val="right"/>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Pham Van Cuong, </w:t>
      </w:r>
      <w:r w:rsidDel="00000000" w:rsidR="00000000" w:rsidRPr="00000000">
        <w:rPr>
          <w:b w:val="1"/>
          <w:rtl w:val="0"/>
        </w:rPr>
        <w:t xml:space="preserve">Phan Thi Hong Nhung</w:t>
      </w:r>
      <w:r w:rsidDel="00000000" w:rsidR="00000000" w:rsidRPr="00000000">
        <w:rPr>
          <w:rtl w:val="0"/>
        </w:rPr>
        <w:t xml:space="preserve">, and Tang Thi Hanh (2012). Photosynthesis in some salinity tolerance rice varieties at tillering satge under different levels of nitrogen.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9</w:t>
      </w:r>
      <w:r w:rsidDel="00000000" w:rsidR="00000000" w:rsidRPr="00000000">
        <w:rPr>
          <w:rtl w:val="0"/>
        </w:rPr>
        <w:t xml:space="preserve">, 19-23 (in Vietnamese with English abstract).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Pham Van Cuong, Tang Thi Hanh, </w:t>
      </w:r>
      <w:r w:rsidDel="00000000" w:rsidR="00000000" w:rsidRPr="00000000">
        <w:rPr>
          <w:b w:val="1"/>
          <w:rtl w:val="0"/>
        </w:rPr>
        <w:t xml:space="preserve">Phan Thi Hong Nhung</w:t>
      </w:r>
      <w:r w:rsidDel="00000000" w:rsidR="00000000" w:rsidRPr="00000000">
        <w:rPr>
          <w:rtl w:val="0"/>
        </w:rPr>
        <w:t xml:space="preserve">, and Hoang Thi Thai Hoa (2012). Photosynthetic and agro-biological characteristics of a local rice cultivar at the tillering stage under salt treatment.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7</w:t>
      </w:r>
      <w:r w:rsidDel="00000000" w:rsidR="00000000" w:rsidRPr="00000000">
        <w:rPr>
          <w:rtl w:val="0"/>
        </w:rPr>
        <w:t xml:space="preserve">, 2126 (in Vietnamese with English abstract).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Tang Thi Hanh, Pham Van Cuong, and </w:t>
      </w:r>
      <w:r w:rsidDel="00000000" w:rsidR="00000000" w:rsidRPr="00000000">
        <w:rPr>
          <w:b w:val="1"/>
          <w:rtl w:val="0"/>
        </w:rPr>
        <w:t xml:space="preserve">Phan Thi Hong Nhung</w:t>
      </w:r>
      <w:r w:rsidDel="00000000" w:rsidR="00000000" w:rsidRPr="00000000">
        <w:rPr>
          <w:rtl w:val="0"/>
        </w:rPr>
        <w:t xml:space="preserve"> (2012). Dry matter accumulation and yield of taro at varying plant densities.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12</w:t>
      </w:r>
      <w:r w:rsidDel="00000000" w:rsidR="00000000" w:rsidRPr="00000000">
        <w:rPr>
          <w:rtl w:val="0"/>
        </w:rPr>
        <w:t xml:space="preserve">, 3-8 (in Vietnamese with English abstract).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Tang Thi Hanh, Pham Van Cuong, </w:t>
      </w:r>
      <w:r w:rsidDel="00000000" w:rsidR="00000000" w:rsidRPr="00000000">
        <w:rPr>
          <w:b w:val="1"/>
          <w:rtl w:val="0"/>
        </w:rPr>
        <w:t xml:space="preserve">Phan Thi Hong Nhung</w:t>
      </w:r>
      <w:r w:rsidDel="00000000" w:rsidR="00000000" w:rsidRPr="00000000">
        <w:rPr>
          <w:rtl w:val="0"/>
        </w:rPr>
        <w:t xml:space="preserve">, Nguyen Thi Trang, and Le Thi Van (2012). Heterosis for photosynthesis of flag leaf of a hybrid rice variety Vietlai 50 (</w:t>
      </w:r>
      <w:r w:rsidDel="00000000" w:rsidR="00000000" w:rsidRPr="00000000">
        <w:rPr>
          <w:i w:val="1"/>
          <w:rtl w:val="0"/>
        </w:rPr>
        <w:t xml:space="preserve">Oryza sativa</w:t>
      </w:r>
      <w:r w:rsidDel="00000000" w:rsidR="00000000" w:rsidRPr="00000000">
        <w:rPr>
          <w:rtl w:val="0"/>
        </w:rPr>
        <w:t xml:space="preserve"> L.) during ripening stage.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8</w:t>
      </w:r>
      <w:r w:rsidDel="00000000" w:rsidR="00000000" w:rsidRPr="00000000">
        <w:rPr>
          <w:rtl w:val="0"/>
        </w:rPr>
        <w:t xml:space="preserve">, 25-29 (in Vietnamese with English abstract).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Tang Thi Hanh, </w:t>
      </w:r>
      <w:r w:rsidDel="00000000" w:rsidR="00000000" w:rsidRPr="00000000">
        <w:rPr>
          <w:b w:val="1"/>
          <w:rtl w:val="0"/>
        </w:rPr>
        <w:t xml:space="preserve">Phan Thi Hong Nhung</w:t>
      </w:r>
      <w:r w:rsidDel="00000000" w:rsidR="00000000" w:rsidRPr="00000000">
        <w:rPr>
          <w:rtl w:val="0"/>
        </w:rPr>
        <w:t xml:space="preserve">, Do Thi Huong, Pham Van Cuong, and araki Takuya (2013). Nitrogen use efficiency and accumulation grain yield of two very short growth duration rice lines.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7</w:t>
      </w:r>
      <w:r w:rsidDel="00000000" w:rsidR="00000000" w:rsidRPr="00000000">
        <w:rPr>
          <w:rtl w:val="0"/>
        </w:rPr>
        <w:t xml:space="preserve">, 9-17 (in Vietnamese with English abstract).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Phan Thi Hong Nhung</w:t>
      </w:r>
      <w:r w:rsidDel="00000000" w:rsidR="00000000" w:rsidRPr="00000000">
        <w:rPr>
          <w:rtl w:val="0"/>
        </w:rPr>
        <w:t xml:space="preserve">, Tang Thi Hanh, Pham Van Cuong, Tran Thi Nhu Hang, and Le Mai Huong (2013). Effect of fungial bio-products on photosynthesis and agronomical characteristics of Khangdan18 rice variety under different levels of phosphate fertilizers. </w:t>
      </w:r>
      <w:r w:rsidDel="00000000" w:rsidR="00000000" w:rsidRPr="00000000">
        <w:rPr>
          <w:i w:val="1"/>
          <w:rtl w:val="0"/>
        </w:rPr>
        <w:t xml:space="preserve">Vietnam Journal of Agriculture and Rural Development</w:t>
      </w:r>
      <w:r w:rsidDel="00000000" w:rsidR="00000000" w:rsidRPr="00000000">
        <w:rPr>
          <w:rtl w:val="0"/>
        </w:rPr>
        <w:t xml:space="preserve"> </w:t>
      </w:r>
      <w:r w:rsidDel="00000000" w:rsidR="00000000" w:rsidRPr="00000000">
        <w:rPr>
          <w:b w:val="1"/>
          <w:rtl w:val="0"/>
        </w:rPr>
        <w:t xml:space="preserve">10</w:t>
      </w:r>
      <w:r w:rsidDel="00000000" w:rsidR="00000000" w:rsidRPr="00000000">
        <w:rPr>
          <w:rtl w:val="0"/>
        </w:rPr>
        <w:t xml:space="preserve">, 37-44 (in Vietnamese with English abstract).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Tang Thi Hanh, </w:t>
      </w:r>
      <w:r w:rsidDel="00000000" w:rsidR="00000000" w:rsidRPr="00000000">
        <w:rPr>
          <w:b w:val="1"/>
          <w:rtl w:val="0"/>
        </w:rPr>
        <w:t xml:space="preserve">Phan Thi Hong Nhung</w:t>
      </w:r>
      <w:r w:rsidDel="00000000" w:rsidR="00000000" w:rsidRPr="00000000">
        <w:rPr>
          <w:rtl w:val="0"/>
        </w:rPr>
        <w:t xml:space="preserve"> and Pham Van Cuong (2015). Effect of different levels of nitrogen application on green yield and Nutritive value of forage sorghum (</w:t>
      </w:r>
      <w:r w:rsidDel="00000000" w:rsidR="00000000" w:rsidRPr="00000000">
        <w:rPr>
          <w:i w:val="1"/>
          <w:rtl w:val="0"/>
        </w:rPr>
        <w:t xml:space="preserve">sorghum bicolor</w:t>
      </w:r>
      <w:r w:rsidDel="00000000" w:rsidR="00000000" w:rsidRPr="00000000">
        <w:rPr>
          <w:rtl w:val="0"/>
        </w:rPr>
        <w:t xml:space="preserve"> (L.) Moench). Journal of Science and Development, Vietnam National University of Agriculture. Vol. 13, No. 3: 372-380. (in Vietnamese with English abstract).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Tang Thi Hanh, </w:t>
      </w:r>
      <w:r w:rsidDel="00000000" w:rsidR="00000000" w:rsidRPr="00000000">
        <w:rPr>
          <w:b w:val="1"/>
          <w:rtl w:val="0"/>
        </w:rPr>
        <w:t xml:space="preserve">Phan Thi Hong Nhung</w:t>
      </w:r>
      <w:r w:rsidDel="00000000" w:rsidR="00000000" w:rsidRPr="00000000">
        <w:rPr>
          <w:rtl w:val="0"/>
        </w:rPr>
        <w:t xml:space="preserve">, Nguyen Trung Duc and Pham Van Cuong (2015). Evaluation the contribution of genes GN1 and WFP1 to some traits of agro-physiology and grain yield in some newly developed rice lines from Khang Dan 18.  Journal of Agriculture and Rural Development, Vietnam, Vol. 10 (No. 265): 18-23.  (in Vietnamese with English abstract)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37" w:line="240" w:lineRule="auto"/>
        <w:ind w:left="-5" w:right="-15" w:hanging="10"/>
        <w:jc w:val="left"/>
        <w:rPr/>
      </w:pPr>
      <w:r w:rsidDel="00000000" w:rsidR="00000000" w:rsidRPr="00000000">
        <w:rPr>
          <w:b w:val="1"/>
          <w:rtl w:val="0"/>
        </w:rPr>
        <w:t xml:space="preserve">14.2. Proceeding in workshop and seminar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Shinya, C., </w:t>
      </w:r>
      <w:r w:rsidDel="00000000" w:rsidR="00000000" w:rsidRPr="00000000">
        <w:rPr>
          <w:b w:val="1"/>
          <w:rtl w:val="0"/>
        </w:rPr>
        <w:t xml:space="preserve">Phan, N. T. H</w:t>
      </w:r>
      <w:r w:rsidDel="00000000" w:rsidR="00000000" w:rsidRPr="00000000">
        <w:rPr>
          <w:rtl w:val="0"/>
        </w:rPr>
        <w:t xml:space="preserve">., Araki, T., Hamaoka, N., Sugimoto, H., and Oka, M. (2013). Varietal variance of rice matter production and nitrogen uptake under different form of nitrogen application of rice seedling of world core collection released from NIAS. </w:t>
      </w:r>
      <w:r w:rsidDel="00000000" w:rsidR="00000000" w:rsidRPr="00000000">
        <w:rPr>
          <w:i w:val="1"/>
          <w:rtl w:val="0"/>
        </w:rPr>
        <w:t xml:space="preserve">The Meeting of Crop Science Society of Japan</w:t>
      </w:r>
      <w:r w:rsidDel="00000000" w:rsidR="00000000" w:rsidRPr="00000000">
        <w:rPr>
          <w:rtl w:val="0"/>
        </w:rPr>
        <w:t xml:space="preserve"> </w:t>
      </w:r>
      <w:r w:rsidDel="00000000" w:rsidR="00000000" w:rsidRPr="00000000">
        <w:rPr>
          <w:b w:val="1"/>
          <w:rtl w:val="0"/>
        </w:rPr>
        <w:t xml:space="preserve">236</w:t>
      </w:r>
      <w:r w:rsidDel="00000000" w:rsidR="00000000" w:rsidRPr="00000000">
        <w:rPr>
          <w:rtl w:val="0"/>
        </w:rPr>
        <w:t xml:space="preserve">, 324 (in Japanese).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Shinya, C., </w:t>
      </w:r>
      <w:r w:rsidDel="00000000" w:rsidR="00000000" w:rsidRPr="00000000">
        <w:rPr>
          <w:b w:val="1"/>
          <w:rtl w:val="0"/>
        </w:rPr>
        <w:t xml:space="preserve">Phan, N. T. H</w:t>
      </w:r>
      <w:r w:rsidDel="00000000" w:rsidR="00000000" w:rsidRPr="00000000">
        <w:rPr>
          <w:rtl w:val="0"/>
        </w:rPr>
        <w:t xml:space="preserve">., Araki, T., and Sugimoto, H. (2013). Varietical difference of dry matter production and nitrogen upatke of rice grown by different comnination of inorganic nitrogen application. </w:t>
      </w:r>
      <w:r w:rsidDel="00000000" w:rsidR="00000000" w:rsidRPr="00000000">
        <w:rPr>
          <w:i w:val="1"/>
          <w:rtl w:val="0"/>
        </w:rPr>
        <w:t xml:space="preserve">The Meeting of Crop Science Society of Japan</w:t>
      </w:r>
      <w:r w:rsidDel="00000000" w:rsidR="00000000" w:rsidRPr="00000000">
        <w:rPr>
          <w:rtl w:val="0"/>
        </w:rPr>
        <w:t xml:space="preserve"> </w:t>
      </w:r>
      <w:r w:rsidDel="00000000" w:rsidR="00000000" w:rsidRPr="00000000">
        <w:rPr>
          <w:b w:val="1"/>
          <w:rtl w:val="0"/>
        </w:rPr>
        <w:t xml:space="preserve">235</w:t>
      </w:r>
      <w:r w:rsidDel="00000000" w:rsidR="00000000" w:rsidRPr="00000000">
        <w:rPr>
          <w:rtl w:val="0"/>
        </w:rPr>
        <w:t xml:space="preserve">, 256 (in Japanese).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Phan Thi Hong Nhung</w:t>
      </w:r>
      <w:r w:rsidDel="00000000" w:rsidR="00000000" w:rsidRPr="00000000">
        <w:rPr>
          <w:rtl w:val="0"/>
        </w:rPr>
        <w:t xml:space="preserve">, Shinya, C., Araki, T., Sugimoto, H., Oka, M., and Mochizuki, T. (2014). Effect of nitrogen form  application s   on growth, nitrogen uptake and root characteristics of rice seedlings (</w:t>
      </w:r>
      <w:r w:rsidDel="00000000" w:rsidR="00000000" w:rsidRPr="00000000">
        <w:rPr>
          <w:i w:val="1"/>
          <w:rtl w:val="0"/>
        </w:rPr>
        <w:t xml:space="preserve">Oryza sativa</w:t>
      </w:r>
      <w:r w:rsidDel="00000000" w:rsidR="00000000" w:rsidRPr="00000000">
        <w:rPr>
          <w:rtl w:val="0"/>
        </w:rPr>
        <w:t xml:space="preserve">  L.) grown by hydroponics </w:t>
      </w:r>
      <w:r w:rsidDel="00000000" w:rsidR="00000000" w:rsidRPr="00000000">
        <w:rPr>
          <w:i w:val="1"/>
          <w:rtl w:val="0"/>
        </w:rPr>
        <w:t xml:space="preserve">The 238th meeting of CSSJ, Japan</w:t>
      </w:r>
      <w:r w:rsidDel="00000000" w:rsidR="00000000" w:rsidRPr="00000000">
        <w:rPr>
          <w:rtl w:val="0"/>
        </w:rPr>
        <w:t xml:space="preserve">, 80.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Phan Thi Hong Nhung</w:t>
      </w:r>
      <w:r w:rsidDel="00000000" w:rsidR="00000000" w:rsidRPr="00000000">
        <w:rPr>
          <w:rtl w:val="0"/>
        </w:rPr>
        <w:t xml:space="preserve">, Shinya, C., Araki, T., Sugimoto, H., Oka, M., and Mochizuki, T. (2014). Effect of rhizosphere temperature on the growth and root development of rice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08" w:firstLine="0"/>
        <w:rPr/>
      </w:pPr>
      <w:r w:rsidDel="00000000" w:rsidR="00000000" w:rsidRPr="00000000">
        <w:rPr>
          <w:rtl w:val="0"/>
        </w:rPr>
        <w:t xml:space="preserve">plants (</w:t>
      </w:r>
      <w:r w:rsidDel="00000000" w:rsidR="00000000" w:rsidRPr="00000000">
        <w:rPr>
          <w:i w:val="1"/>
          <w:rtl w:val="0"/>
        </w:rPr>
        <w:t xml:space="preserve">Oryza sativa</w:t>
      </w:r>
      <w:r w:rsidDel="00000000" w:rsidR="00000000" w:rsidRPr="00000000">
        <w:rPr>
          <w:rtl w:val="0"/>
        </w:rPr>
        <w:t xml:space="preserve"> L.) grown by hydroponics with different nitrogen forms. </w:t>
      </w:r>
      <w:r w:rsidDel="00000000" w:rsidR="00000000" w:rsidRPr="00000000">
        <w:rPr>
          <w:i w:val="1"/>
          <w:rtl w:val="0"/>
        </w:rPr>
        <w:t xml:space="preserve">The 8th Asian Crop Science Association conference</w:t>
      </w:r>
      <w:r w:rsidDel="00000000" w:rsidR="00000000" w:rsidRPr="00000000">
        <w:rPr>
          <w:rtl w:val="0"/>
        </w:rPr>
        <w:t xml:space="preserve">, 54.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Phan Thi Hong Nhung, </w:t>
      </w:r>
      <w:r w:rsidDel="00000000" w:rsidR="00000000" w:rsidRPr="00000000">
        <w:rPr>
          <w:rtl w:val="0"/>
        </w:rPr>
        <w:t xml:space="preserve">Nguyen Thi Hue, Tang Thi Hanh, Pham Van Cuong (2016). To examine effect of inorganic nitrogen forms and levels on growth of local rice and improved rice variety in salt condition in tillering stage. The annual workshop of Agronomy faculty, VNUA.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7" w:line="240" w:lineRule="auto"/>
        <w:ind w:left="0" w:right="763" w:firstLine="0"/>
        <w:jc w:val="right"/>
        <w:rPr/>
      </w:pPr>
      <w:r w:rsidDel="00000000" w:rsidR="00000000" w:rsidRPr="00000000">
        <w:rPr>
          <w:i w:val="1"/>
          <w:rtl w:val="0"/>
        </w:rPr>
        <w:t xml:space="preserve">Hanoi, September 30</w:t>
      </w:r>
      <w:r w:rsidDel="00000000" w:rsidR="00000000" w:rsidRPr="00000000">
        <w:rPr>
          <w:i w:val="1"/>
          <w:vertAlign w:val="superscript"/>
          <w:rtl w:val="0"/>
        </w:rPr>
        <w:t xml:space="preserve">th</w:t>
      </w:r>
      <w:r w:rsidDel="00000000" w:rsidR="00000000" w:rsidRPr="00000000">
        <w:rPr>
          <w:i w:val="1"/>
          <w:rtl w:val="0"/>
        </w:rPr>
        <w:t xml:space="preserve">, 2015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39" w:line="240" w:lineRule="auto"/>
        <w:ind w:left="0" w:right="0" w:firstLine="0"/>
        <w:jc w:val="center"/>
        <w:rPr/>
      </w:pP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40" w:line="240" w:lineRule="auto"/>
        <w:ind w:left="0" w:right="0" w:firstLine="0"/>
        <w:jc w:val="center"/>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39" w:line="240" w:lineRule="auto"/>
        <w:ind w:left="0" w:right="0" w:firstLine="0"/>
        <w:jc w:val="center"/>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42" w:line="240" w:lineRule="auto"/>
        <w:ind w:left="0" w:right="1051" w:firstLine="0"/>
        <w:jc w:val="right"/>
        <w:rPr/>
      </w:pPr>
      <w:r w:rsidDel="00000000" w:rsidR="00000000" w:rsidRPr="00000000">
        <w:rPr>
          <w:rtl w:val="0"/>
        </w:rPr>
        <w:t xml:space="preserve">Phan Thi Hong Nhung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360" w:right="0" w:firstLine="0"/>
        <w:jc w:val="left"/>
        <w:rPr/>
      </w:pPr>
      <w:r w:rsidDel="00000000" w:rsidR="00000000" w:rsidRPr="00000000">
        <w:rPr>
          <w:i w:val="1"/>
          <w:color w:val="000080"/>
          <w:rtl w:val="0"/>
        </w:rPr>
        <w:t xml:space="preserve"> </w:t>
      </w:r>
      <w:r w:rsidDel="00000000" w:rsidR="00000000" w:rsidRPr="00000000">
        <w:rPr>
          <w:rtl w:val="0"/>
        </w:rPr>
      </w:r>
    </w:p>
    <w:sectPr>
      <w:footerReference r:id="rId6" w:type="default"/>
      <w:pgSz w:h="15840" w:w="12240"/>
      <w:pgMar w:bottom="1751" w:top="450" w:left="1440" w:right="139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714" w:line="240" w:lineRule="auto"/>
      <w:ind w:left="0" w:right="0" w:firstLine="0"/>
      <w:jc w:val="left"/>
      <w:rPr/>
    </w:pPr>
    <w:r w:rsidDel="00000000" w:rsidR="00000000" w:rsidRPr="00000000">
      <w:rPr>
        <w:rFonts w:ascii="Times New Roman" w:cs="Times New Roman" w:eastAsia="Times New Roman" w:hAnsi="Times New Roman"/>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360" w:hanging="36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859" w:hanging="859"/>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41" w:line="269" w:lineRule="auto"/>
        <w:ind w:left="703" w:right="-5" w:hanging="7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